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20"/>
        <w:gridCol w:w="60"/>
        <w:gridCol w:w="100"/>
        <w:gridCol w:w="420"/>
        <w:gridCol w:w="20"/>
        <w:gridCol w:w="260"/>
        <w:gridCol w:w="20"/>
        <w:gridCol w:w="100"/>
        <w:gridCol w:w="20"/>
        <w:gridCol w:w="60"/>
        <w:gridCol w:w="40"/>
        <w:gridCol w:w="60"/>
        <w:gridCol w:w="340"/>
        <w:gridCol w:w="180"/>
        <w:gridCol w:w="100"/>
        <w:gridCol w:w="20"/>
        <w:gridCol w:w="180"/>
        <w:gridCol w:w="20"/>
        <w:gridCol w:w="60"/>
        <w:gridCol w:w="100"/>
        <w:gridCol w:w="40"/>
        <w:gridCol w:w="60"/>
        <w:gridCol w:w="420"/>
        <w:gridCol w:w="100"/>
        <w:gridCol w:w="120"/>
        <w:gridCol w:w="20"/>
        <w:gridCol w:w="40"/>
        <w:gridCol w:w="40"/>
        <w:gridCol w:w="80"/>
        <w:gridCol w:w="20"/>
        <w:gridCol w:w="80"/>
        <w:gridCol w:w="120"/>
        <w:gridCol w:w="280"/>
        <w:gridCol w:w="80"/>
        <w:gridCol w:w="40"/>
        <w:gridCol w:w="300"/>
        <w:gridCol w:w="80"/>
        <w:gridCol w:w="20"/>
        <w:gridCol w:w="80"/>
        <w:gridCol w:w="20"/>
        <w:gridCol w:w="200"/>
        <w:gridCol w:w="80"/>
        <w:gridCol w:w="320"/>
        <w:gridCol w:w="200"/>
        <w:gridCol w:w="60"/>
        <w:gridCol w:w="20"/>
        <w:gridCol w:w="100"/>
        <w:gridCol w:w="20"/>
        <w:gridCol w:w="180"/>
        <w:gridCol w:w="20"/>
        <w:gridCol w:w="100"/>
        <w:gridCol w:w="400"/>
        <w:gridCol w:w="100"/>
        <w:gridCol w:w="80"/>
        <w:gridCol w:w="100"/>
        <w:gridCol w:w="20"/>
        <w:gridCol w:w="80"/>
        <w:gridCol w:w="160"/>
        <w:gridCol w:w="160"/>
        <w:gridCol w:w="80"/>
        <w:gridCol w:w="320"/>
        <w:gridCol w:w="60"/>
        <w:gridCol w:w="20"/>
        <w:gridCol w:w="100"/>
        <w:gridCol w:w="120"/>
        <w:gridCol w:w="400"/>
        <w:gridCol w:w="100"/>
        <w:gridCol w:w="100"/>
        <w:gridCol w:w="100"/>
        <w:gridCol w:w="80"/>
        <w:gridCol w:w="40"/>
        <w:gridCol w:w="80"/>
        <w:gridCol w:w="100"/>
        <w:gridCol w:w="500"/>
        <w:gridCol w:w="180"/>
        <w:gridCol w:w="40"/>
        <w:gridCol w:w="40"/>
        <w:gridCol w:w="20"/>
        <w:gridCol w:w="20"/>
        <w:gridCol w:w="20"/>
        <w:gridCol w:w="40"/>
        <w:gridCol w:w="40"/>
        <w:gridCol w:w="260"/>
        <w:gridCol w:w="100"/>
      </w:tblGrid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B70" w:rsidRDefault="003C6D08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B70" w:rsidRDefault="003C6D08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2F0B70" w:rsidRDefault="003C6D08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2F0B70" w:rsidRDefault="003C6D08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t>0118240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t>8240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t>0380</w:t>
            </w:r>
          </w:p>
        </w:tc>
        <w:tc>
          <w:tcPr>
            <w:tcW w:w="6520" w:type="dxa"/>
            <w:gridSpan w:val="5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both"/>
            </w:pPr>
            <w:r>
              <w:t>Заходи та роботи з територіальної оборони</w:t>
            </w: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0B70" w:rsidRDefault="003C6D08">
            <w:pPr>
              <w:spacing w:after="200"/>
              <w:ind w:left="500"/>
            </w:pPr>
            <w:r>
              <w:t>Створення безпечних умов проживань для мешканців громади, підвищення рівня безпеки та правопорядку. Здійснення заходів щодо матеріально-технічного забезпечення підрозділів територіальної оборони.</w:t>
            </w: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2F0B70" w:rsidRDefault="003C6D08">
            <w:pPr>
              <w:ind w:left="500"/>
            </w:pPr>
            <w:r>
              <w:t>Заходи та роботи з територіальної оборони</w:t>
            </w: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0B70" w:rsidRDefault="003C6D08">
            <w:pPr>
              <w:ind w:left="500"/>
            </w:pPr>
            <w:r>
              <w:t>Конституції України, Законів України «Про місцеве самоврядування в Україні», "Про оборону України", "Про національну поліцію"", "Про участь громадян в охороні громад</w:t>
            </w:r>
            <w:r>
              <w:t>ського порядку і державного кордону", "Про основи національного спротиву", "Про мобілізаційну підготовку та мобілізацію", Бюджетний кодекс України, Закон України "Про державний бюджет України на 2023 рік",  Програма "Безпечна громада" на 2022-2024 роки, На</w:t>
            </w:r>
            <w:r>
              <w:t>каз фінансового відділу Якушинецької сільської ради №20 від 20.09.2023 року "Про затвердження інструкції з підготовки бюджетних запитів", Наказ Міністерства фінансів України від 17.07.2015  № 648 "Про затвердження типових форм бюджетних запитів для формува</w:t>
            </w:r>
            <w:r>
              <w:t xml:space="preserve">ння місцевих бюджетів". </w:t>
            </w: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17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1 050 000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1 050 000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F0B70" w:rsidRDefault="002F0B7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2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60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2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2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1 050 000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2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заходів щодо сприяння територіальній обороні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250 000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Напрям використання відповідно завдань бюджетної програми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800 000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800 000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1 050 000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F0B70" w:rsidRDefault="002F0B7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59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обсяг видатків на виконання програми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802985,00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802985,00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300000,00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укладених  договорів на придбання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по догоморах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114712,15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114712,15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30000,00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придбання до потреби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F0B70" w:rsidRDefault="002F0B7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F0B70" w:rsidRDefault="002F0B7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408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4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F0B70" w:rsidRDefault="002F0B7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20" w:type="dxa"/>
          </w:tcPr>
          <w:p w:rsidR="002F0B70" w:rsidRDefault="002F0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2F0B70" w:rsidRDefault="002F0B70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"Безпечна громада" на 2022-2224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скликання №630 від 26.11.2021 року зі змінами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802 985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802 985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802 985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802 985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3C6D0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2F0B70" w:rsidRDefault="002F0B70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0B70" w:rsidRDefault="003C6D08">
            <w:pPr>
              <w:spacing w:after="200"/>
            </w:pPr>
            <w:r>
              <w:t>Кошти в 2023 році було використані в обмеженій кількості в зів'язку з відсутністю укладених договорів</w:t>
            </w: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left="60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t>2024 рік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4"/>
              </w:rPr>
              <w:t>можлива кредиторська заборгован</w:t>
            </w:r>
            <w:r>
              <w:rPr>
                <w:sz w:val="14"/>
              </w:rPr>
              <w:t>ість на початок планового бюджетного періоду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B70" w:rsidRDefault="003C6D0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8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B70" w:rsidRDefault="002F0B70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left="60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B70" w:rsidRDefault="002F0B70">
            <w:pPr>
              <w:ind w:right="60"/>
              <w:jc w:val="right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2F0B70">
            <w:pPr>
              <w:jc w:val="center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pPr>
              <w:ind w:left="400"/>
            </w:pPr>
            <w:r>
              <w:rPr>
                <w:b/>
              </w:rPr>
              <w:t>4) аналіз управління бюджетними зобов'</w:t>
            </w:r>
            <w:r>
              <w:rPr>
                <w:b/>
              </w:rPr>
              <w:t>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0B70" w:rsidRDefault="002F0B70">
            <w:pPr>
              <w:spacing w:after="200"/>
              <w:ind w:left="400"/>
              <w:jc w:val="both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B70" w:rsidRDefault="003C6D08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F0B70" w:rsidRDefault="003C6D08">
            <w:pPr>
              <w:spacing w:after="200"/>
              <w:jc w:val="both"/>
            </w:pPr>
            <w:r>
              <w:t>На 2024 бюджетний рік не заплановані видатки по спеціальному фонду бюджету.</w:t>
            </w: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t>Василь РОМАНЮК</w:t>
            </w: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9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r>
              <w:t>Наталія КЛЕБАН</w:t>
            </w: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  <w:tr w:rsidR="002F0B70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B70" w:rsidRDefault="003C6D0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0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F0B70" w:rsidRDefault="002F0B70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2F0B70" w:rsidRDefault="002F0B70">
            <w:pPr>
              <w:pStyle w:val="EMPTYCELLSTYLE"/>
            </w:pPr>
          </w:p>
        </w:tc>
      </w:tr>
    </w:tbl>
    <w:p w:rsidR="003C6D08" w:rsidRDefault="003C6D08"/>
    <w:sectPr w:rsidR="003C6D0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70"/>
    <w:rsid w:val="002F0B70"/>
    <w:rsid w:val="003C6D08"/>
    <w:rsid w:val="00D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2023-12-11T13:01:00Z</dcterms:created>
  <dcterms:modified xsi:type="dcterms:W3CDTF">2023-12-11T13:01:00Z</dcterms:modified>
</cp:coreProperties>
</file>