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20"/>
        <w:gridCol w:w="20"/>
        <w:gridCol w:w="20"/>
        <w:gridCol w:w="60"/>
        <w:gridCol w:w="40"/>
        <w:gridCol w:w="40"/>
        <w:gridCol w:w="160"/>
        <w:gridCol w:w="280"/>
        <w:gridCol w:w="80"/>
        <w:gridCol w:w="20"/>
        <w:gridCol w:w="280"/>
        <w:gridCol w:w="20"/>
        <w:gridCol w:w="80"/>
        <w:gridCol w:w="40"/>
        <w:gridCol w:w="40"/>
        <w:gridCol w:w="60"/>
        <w:gridCol w:w="200"/>
        <w:gridCol w:w="80"/>
        <w:gridCol w:w="300"/>
        <w:gridCol w:w="180"/>
        <w:gridCol w:w="20"/>
        <w:gridCol w:w="80"/>
        <w:gridCol w:w="80"/>
        <w:gridCol w:w="60"/>
        <w:gridCol w:w="180"/>
        <w:gridCol w:w="20"/>
        <w:gridCol w:w="100"/>
        <w:gridCol w:w="380"/>
        <w:gridCol w:w="80"/>
        <w:gridCol w:w="20"/>
        <w:gridCol w:w="80"/>
        <w:gridCol w:w="80"/>
        <w:gridCol w:w="60"/>
        <w:gridCol w:w="80"/>
        <w:gridCol w:w="140"/>
        <w:gridCol w:w="180"/>
        <w:gridCol w:w="60"/>
        <w:gridCol w:w="300"/>
        <w:gridCol w:w="20"/>
        <w:gridCol w:w="80"/>
        <w:gridCol w:w="80"/>
        <w:gridCol w:w="40"/>
        <w:gridCol w:w="120"/>
        <w:gridCol w:w="400"/>
        <w:gridCol w:w="100"/>
        <w:gridCol w:w="80"/>
        <w:gridCol w:w="80"/>
        <w:gridCol w:w="20"/>
        <w:gridCol w:w="80"/>
        <w:gridCol w:w="20"/>
        <w:gridCol w:w="20"/>
        <w:gridCol w:w="40"/>
        <w:gridCol w:w="160"/>
        <w:gridCol w:w="500"/>
        <w:gridCol w:w="160"/>
        <w:gridCol w:w="2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893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93F86" w:rsidRDefault="00893F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5960" w:type="dxa"/>
            <w:gridSpan w:val="11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93F86" w:rsidRDefault="00893F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93F86" w:rsidRDefault="00D72928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93F86" w:rsidRDefault="00D72928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93F86" w:rsidRDefault="00D72928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93F86" w:rsidRDefault="00D72928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0118230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8230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0380</w:t>
            </w:r>
          </w:p>
        </w:tc>
        <w:tc>
          <w:tcPr>
            <w:tcW w:w="6520" w:type="dxa"/>
            <w:gridSpan w:val="6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both"/>
            </w:pPr>
            <w:r>
              <w:t>Інші заходи громадського порядку та безпеки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D72928">
            <w:pPr>
              <w:spacing w:after="200"/>
              <w:ind w:left="500"/>
            </w:pPr>
            <w:r>
              <w:t>Протидія злочинності, прпофілактика скоєння поррушень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93F86" w:rsidRDefault="00D72928">
            <w:pPr>
              <w:ind w:left="500"/>
            </w:pPr>
            <w:r>
              <w:t>Проведення профілактичних рейдів з метою запобігання злочинності, встановлення камер відеоспостереження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D72928">
            <w:pPr>
              <w:ind w:left="500"/>
            </w:pPr>
            <w:r>
              <w:t>Конституції України, Закони України «Про місцеве самоврядування в Україні», "Про мобілізаційну підготовку та мобілізацію", Бюджетний кодекс України, Закон України "Про державний бюджет України на 2023 рік", , Програма "Безпечна громада" на 2022-2024 роки ,</w:t>
            </w:r>
            <w:r>
              <w:t xml:space="preserve"> ЗУ "Про у часть громадян в охороні громадського порядку і державного кордону", Наказ фінансового відділу Якушинецької сільської ради №20 від 20.09.2023 року "Про затвердження інструкції з підготовки бюджетних запитів", Наказ Міністерства фінансів України </w:t>
            </w:r>
            <w:r>
              <w:t>від 17.07.2015  № 648 "Про затвердження типових форм бюджетних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93F86" w:rsidRDefault="00893F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93F86" w:rsidRDefault="00893F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2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2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2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2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Проведення профілактичних рейдів з метою запобігання злочинності, встановлення камер відеоспостереження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159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20" w:type="dxa"/>
          </w:tcPr>
          <w:p w:rsidR="00893F86" w:rsidRDefault="00893F8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Сума передбачених коштів на проведення заходів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31200,00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31200,00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громадських організацій які будуть залучені до патрулювання вулиць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Затрати  для посилення безпеки та порядку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31200,00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31200,00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літрів дизпалива в місяць для контролявулиць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літр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77,00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77,00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затрати в місяць на патрулювання вулиць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2600,00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2600,00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5000,00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5000,00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забезпеченості потребою в коштах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12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"Безпечна громада" на 2022-2224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скликання №630 від 26.11.2021 року зі змінами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31 200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D7292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</w:t>
            </w:r>
            <w:r>
              <w:rPr>
                <w:sz w:val="16"/>
              </w:rPr>
              <w:t>у, %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D72928">
            <w:pPr>
              <w:spacing w:after="200"/>
            </w:pPr>
            <w:r>
              <w:t>Кошти в 2023 році не були використані в зів'язк</w:t>
            </w:r>
            <w:r>
              <w:t>у з відсутністю укладеного договору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t>2024 рік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F86" w:rsidRDefault="00D729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rPr>
                <w:sz w:val="16"/>
              </w:rPr>
              <w:t>Вжиті заходи щодо ліквід</w:t>
            </w:r>
            <w:r>
              <w:rPr>
                <w:sz w:val="16"/>
              </w:rPr>
              <w:t>ації заборгованості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left="60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F86" w:rsidRDefault="00893F86">
            <w:pPr>
              <w:ind w:right="60"/>
              <w:jc w:val="right"/>
            </w:pP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893F86">
            <w:pPr>
              <w:jc w:val="center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00"/>
        </w:trPr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  <w:pageBreakBefore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893F86">
            <w:pPr>
              <w:spacing w:after="200"/>
              <w:ind w:left="400"/>
              <w:jc w:val="both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F86" w:rsidRDefault="00D72928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93F86" w:rsidRDefault="00D72928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1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t>Василь РОМАНЮК</w:t>
            </w:r>
          </w:p>
        </w:tc>
        <w:tc>
          <w:tcPr>
            <w:tcW w:w="0" w:type="auto"/>
            <w:gridSpan w:val="1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1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r>
              <w:t>Наталія КЛЕБАН</w:t>
            </w:r>
          </w:p>
        </w:tc>
        <w:tc>
          <w:tcPr>
            <w:tcW w:w="0" w:type="auto"/>
            <w:gridSpan w:val="1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  <w:tr w:rsidR="00893F8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F86" w:rsidRDefault="00D7292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4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893F86" w:rsidRDefault="00893F8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893F86" w:rsidRDefault="00893F86">
            <w:pPr>
              <w:pStyle w:val="EMPTYCELLSTYLE"/>
            </w:pPr>
          </w:p>
        </w:tc>
      </w:tr>
    </w:tbl>
    <w:p w:rsidR="00D72928" w:rsidRDefault="00D72928"/>
    <w:sectPr w:rsidR="00D7292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6"/>
    <w:rsid w:val="00893F86"/>
    <w:rsid w:val="00A952EE"/>
    <w:rsid w:val="00D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2023-12-11T12:59:00Z</dcterms:created>
  <dcterms:modified xsi:type="dcterms:W3CDTF">2023-12-11T12:59:00Z</dcterms:modified>
</cp:coreProperties>
</file>