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5A598" w14:textId="77777777" w:rsidR="008E24FA" w:rsidRDefault="008E24FA"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33034226" w:rsidR="00E562E8" w:rsidRPr="008E24FA" w:rsidRDefault="00E562E8" w:rsidP="00E562E8">
      <w:pPr>
        <w:tabs>
          <w:tab w:val="left" w:pos="993"/>
        </w:tabs>
        <w:jc w:val="right"/>
        <w:rPr>
          <w:sz w:val="28"/>
          <w:szCs w:val="28"/>
          <w:lang w:val="uk-UA"/>
        </w:rPr>
      </w:pPr>
      <w:r>
        <w:rPr>
          <w:sz w:val="28"/>
          <w:szCs w:val="28"/>
          <w:lang w:val="uk-UA"/>
        </w:rPr>
        <w:t>до рішення 17</w:t>
      </w:r>
      <w:r w:rsidRPr="008E24FA">
        <w:rPr>
          <w:sz w:val="28"/>
          <w:szCs w:val="28"/>
          <w:lang w:val="uk-UA"/>
        </w:rPr>
        <w:t xml:space="preserve"> сесії 8 скликання </w:t>
      </w:r>
    </w:p>
    <w:p w14:paraId="0A5C9DFA" w14:textId="369D0505" w:rsidR="00E562E8" w:rsidRPr="0005167A" w:rsidRDefault="00E562E8" w:rsidP="00E562E8">
      <w:pPr>
        <w:tabs>
          <w:tab w:val="left" w:pos="993"/>
        </w:tabs>
        <w:jc w:val="right"/>
        <w:rPr>
          <w:sz w:val="28"/>
          <w:szCs w:val="28"/>
          <w:lang w:val="uk-UA"/>
        </w:rPr>
      </w:pPr>
      <w:r>
        <w:rPr>
          <w:sz w:val="28"/>
          <w:szCs w:val="28"/>
          <w:lang w:val="uk-UA"/>
        </w:rPr>
        <w:t>від 28.0</w:t>
      </w:r>
      <w:r>
        <w:rPr>
          <w:sz w:val="28"/>
          <w:szCs w:val="28"/>
          <w:lang w:val="uk-UA"/>
        </w:rPr>
        <w:t>1</w:t>
      </w:r>
      <w:r>
        <w:rPr>
          <w:sz w:val="28"/>
          <w:szCs w:val="28"/>
          <w:lang w:val="uk-UA"/>
        </w:rPr>
        <w:t>.2022</w:t>
      </w:r>
      <w:r w:rsidRPr="008E24FA">
        <w:rPr>
          <w:sz w:val="28"/>
          <w:szCs w:val="28"/>
          <w:lang w:val="uk-UA"/>
        </w:rPr>
        <w:t xml:space="preserve"> року №</w:t>
      </w:r>
      <w:r>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5ACD87B8" w:rsidR="00B7100F" w:rsidRDefault="00B7100F" w:rsidP="00191012">
            <w:pPr>
              <w:jc w:val="center"/>
              <w:rPr>
                <w:sz w:val="24"/>
                <w:szCs w:val="24"/>
                <w:lang w:val="uk-UA"/>
              </w:rPr>
            </w:pPr>
            <w:r>
              <w:rPr>
                <w:sz w:val="24"/>
                <w:szCs w:val="24"/>
                <w:lang w:val="uk-UA"/>
              </w:rPr>
              <w:t>200,00</w:t>
            </w:r>
          </w:p>
        </w:tc>
        <w:tc>
          <w:tcPr>
            <w:tcW w:w="1309" w:type="dxa"/>
          </w:tcPr>
          <w:p w14:paraId="490D4439" w14:textId="0B1BC9FA" w:rsidR="00B7100F" w:rsidRPr="00E31116" w:rsidRDefault="008202F7" w:rsidP="00191012">
            <w:pPr>
              <w:jc w:val="center"/>
              <w:rPr>
                <w:sz w:val="24"/>
                <w:szCs w:val="24"/>
                <w:lang w:val="uk-UA"/>
              </w:rPr>
            </w:pPr>
            <w:r>
              <w:rPr>
                <w:sz w:val="24"/>
                <w:szCs w:val="24"/>
                <w:lang w:val="uk-UA"/>
              </w:rPr>
              <w:t>205,32</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3D43BF94" w:rsidR="00B7100F" w:rsidRPr="00035DAA" w:rsidRDefault="00B7100F" w:rsidP="00191012">
            <w:pPr>
              <w:jc w:val="center"/>
              <w:rPr>
                <w:sz w:val="24"/>
                <w:szCs w:val="24"/>
                <w:lang w:val="uk-UA"/>
              </w:rPr>
            </w:pPr>
            <w:r>
              <w:rPr>
                <w:sz w:val="24"/>
                <w:szCs w:val="24"/>
                <w:lang w:val="uk-UA"/>
              </w:rPr>
              <w:t>55,00</w:t>
            </w:r>
          </w:p>
        </w:tc>
        <w:tc>
          <w:tcPr>
            <w:tcW w:w="1309" w:type="dxa"/>
          </w:tcPr>
          <w:p w14:paraId="0393CB0F" w14:textId="17F69DC6" w:rsidR="00B7100F" w:rsidRDefault="00EE5159" w:rsidP="00191012">
            <w:pPr>
              <w:jc w:val="center"/>
              <w:rPr>
                <w:sz w:val="24"/>
                <w:szCs w:val="24"/>
                <w:lang w:val="uk-UA"/>
              </w:rPr>
            </w:pPr>
            <w:r>
              <w:rPr>
                <w:sz w:val="24"/>
                <w:szCs w:val="24"/>
                <w:lang w:val="uk-UA"/>
              </w:rPr>
              <w:t>58,41</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339C1F10" w:rsidR="00B7100F" w:rsidRDefault="00DA6893" w:rsidP="00191012">
            <w:pPr>
              <w:jc w:val="center"/>
              <w:rPr>
                <w:sz w:val="24"/>
                <w:szCs w:val="24"/>
                <w:lang w:val="uk-UA"/>
              </w:rPr>
            </w:pPr>
            <w:r>
              <w:rPr>
                <w:sz w:val="24"/>
                <w:szCs w:val="24"/>
                <w:lang w:val="uk-UA"/>
              </w:rPr>
              <w:t>200,00</w:t>
            </w:r>
          </w:p>
        </w:tc>
        <w:tc>
          <w:tcPr>
            <w:tcW w:w="1309" w:type="dxa"/>
          </w:tcPr>
          <w:p w14:paraId="0773CE49" w14:textId="1D6CC7BD" w:rsidR="00B7100F" w:rsidRDefault="00DA6893" w:rsidP="00191012">
            <w:pPr>
              <w:jc w:val="center"/>
              <w:rPr>
                <w:sz w:val="24"/>
                <w:szCs w:val="24"/>
                <w:lang w:val="uk-UA"/>
              </w:rPr>
            </w:pPr>
            <w:r>
              <w:rPr>
                <w:sz w:val="24"/>
                <w:szCs w:val="24"/>
                <w:lang w:val="uk-UA"/>
              </w:rPr>
              <w:t>200,00</w:t>
            </w: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64B4F8F9" w:rsidR="00B7100F" w:rsidRPr="00035DAA" w:rsidRDefault="00B7100F" w:rsidP="00191012">
            <w:pPr>
              <w:jc w:val="center"/>
              <w:rPr>
                <w:sz w:val="24"/>
                <w:szCs w:val="24"/>
                <w:lang w:val="uk-UA"/>
              </w:rPr>
            </w:pPr>
            <w:r>
              <w:rPr>
                <w:sz w:val="24"/>
                <w:szCs w:val="24"/>
                <w:lang w:val="uk-UA"/>
              </w:rPr>
              <w:t>150,0</w:t>
            </w:r>
          </w:p>
        </w:tc>
        <w:tc>
          <w:tcPr>
            <w:tcW w:w="1309" w:type="dxa"/>
          </w:tcPr>
          <w:p w14:paraId="7D65FB2E" w14:textId="24302C59" w:rsidR="00B7100F" w:rsidRDefault="008202F7" w:rsidP="00191012">
            <w:pPr>
              <w:jc w:val="center"/>
              <w:rPr>
                <w:sz w:val="24"/>
                <w:szCs w:val="24"/>
                <w:lang w:val="uk-UA"/>
              </w:rPr>
            </w:pPr>
            <w:r>
              <w:rPr>
                <w:sz w:val="24"/>
                <w:szCs w:val="24"/>
                <w:lang w:val="uk-UA"/>
              </w:rPr>
              <w:t>157,95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77777777" w:rsidR="00B7100F" w:rsidRDefault="00B7100F" w:rsidP="00191012">
            <w:pPr>
              <w:jc w:val="center"/>
              <w:rPr>
                <w:sz w:val="24"/>
                <w:szCs w:val="24"/>
                <w:lang w:val="uk-UA"/>
              </w:rPr>
            </w:pPr>
            <w:r>
              <w:rPr>
                <w:sz w:val="24"/>
                <w:szCs w:val="24"/>
                <w:lang w:val="uk-UA"/>
              </w:rPr>
              <w:t>20,0</w:t>
            </w:r>
          </w:p>
        </w:tc>
        <w:tc>
          <w:tcPr>
            <w:tcW w:w="1309" w:type="dxa"/>
          </w:tcPr>
          <w:p w14:paraId="68808247" w14:textId="23C933E2" w:rsidR="00B7100F" w:rsidRDefault="008202F7" w:rsidP="00191012">
            <w:pPr>
              <w:jc w:val="center"/>
              <w:rPr>
                <w:sz w:val="24"/>
                <w:szCs w:val="24"/>
                <w:lang w:val="uk-UA"/>
              </w:rPr>
            </w:pPr>
            <w:r>
              <w:rPr>
                <w:sz w:val="24"/>
                <w:szCs w:val="24"/>
                <w:lang w:val="uk-UA"/>
              </w:rPr>
              <w:t>21,06</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66635365" w:rsidR="00B7100F" w:rsidRDefault="00EF767C" w:rsidP="00191012">
            <w:pPr>
              <w:jc w:val="center"/>
              <w:rPr>
                <w:sz w:val="24"/>
                <w:szCs w:val="24"/>
                <w:lang w:val="uk-UA"/>
              </w:rPr>
            </w:pPr>
            <w:r>
              <w:rPr>
                <w:sz w:val="24"/>
                <w:szCs w:val="24"/>
                <w:lang w:val="uk-UA"/>
              </w:rPr>
              <w:t>51,0</w:t>
            </w:r>
          </w:p>
        </w:tc>
        <w:tc>
          <w:tcPr>
            <w:tcW w:w="1309" w:type="dxa"/>
          </w:tcPr>
          <w:p w14:paraId="5EC47DDA" w14:textId="46326DD0" w:rsidR="00B7100F" w:rsidRDefault="008202F7" w:rsidP="00EF767C">
            <w:pPr>
              <w:jc w:val="center"/>
              <w:rPr>
                <w:sz w:val="24"/>
                <w:szCs w:val="24"/>
                <w:lang w:val="uk-UA"/>
              </w:rPr>
            </w:pPr>
            <w:r>
              <w:rPr>
                <w:sz w:val="24"/>
                <w:szCs w:val="24"/>
                <w:lang w:val="uk-UA"/>
              </w:rPr>
              <w:t>5</w:t>
            </w:r>
            <w:r w:rsidR="00EF767C">
              <w:rPr>
                <w:sz w:val="24"/>
                <w:szCs w:val="24"/>
                <w:lang w:val="uk-UA"/>
              </w:rPr>
              <w:t>4</w:t>
            </w:r>
            <w:r>
              <w:rPr>
                <w:sz w:val="24"/>
                <w:szCs w:val="24"/>
                <w:lang w:val="uk-UA"/>
              </w:rPr>
              <w:t>,1</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4CE7053" w:rsidR="002B731A" w:rsidRDefault="002B731A" w:rsidP="00191012">
            <w:pPr>
              <w:jc w:val="center"/>
              <w:rPr>
                <w:sz w:val="24"/>
                <w:szCs w:val="24"/>
                <w:lang w:val="uk-UA"/>
              </w:rPr>
            </w:pPr>
            <w:r>
              <w:rPr>
                <w:sz w:val="24"/>
                <w:szCs w:val="24"/>
                <w:lang w:val="uk-UA"/>
              </w:rPr>
              <w:t>400,0</w:t>
            </w:r>
          </w:p>
        </w:tc>
        <w:tc>
          <w:tcPr>
            <w:tcW w:w="1309" w:type="dxa"/>
          </w:tcPr>
          <w:p w14:paraId="663D4275" w14:textId="6EB7E742" w:rsidR="002B731A" w:rsidRDefault="002B731A" w:rsidP="00191012">
            <w:pPr>
              <w:jc w:val="center"/>
              <w:rPr>
                <w:sz w:val="24"/>
                <w:szCs w:val="24"/>
                <w:lang w:val="uk-UA"/>
              </w:rPr>
            </w:pPr>
            <w:r>
              <w:rPr>
                <w:sz w:val="24"/>
                <w:szCs w:val="24"/>
                <w:lang w:val="uk-UA"/>
              </w:rPr>
              <w:t>424,8</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4341739F" w:rsidR="00B7100F" w:rsidRDefault="008202F7" w:rsidP="00191012">
            <w:pPr>
              <w:jc w:val="center"/>
              <w:rPr>
                <w:sz w:val="24"/>
                <w:szCs w:val="24"/>
                <w:lang w:val="uk-UA"/>
              </w:rPr>
            </w:pPr>
            <w:r>
              <w:rPr>
                <w:sz w:val="24"/>
                <w:szCs w:val="24"/>
                <w:lang w:val="uk-UA"/>
              </w:rPr>
              <w:t>1062,00</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39EDC881" w:rsidR="00B7100F" w:rsidRDefault="00EF767C" w:rsidP="00191012">
            <w:pPr>
              <w:jc w:val="center"/>
              <w:rPr>
                <w:sz w:val="24"/>
                <w:szCs w:val="24"/>
                <w:lang w:val="uk-UA"/>
              </w:rPr>
            </w:pPr>
            <w:r>
              <w:rPr>
                <w:sz w:val="24"/>
                <w:szCs w:val="24"/>
                <w:lang w:val="uk-UA"/>
              </w:rPr>
              <w:t>15</w:t>
            </w:r>
            <w:r w:rsidR="00B7100F">
              <w:rPr>
                <w:sz w:val="24"/>
                <w:szCs w:val="24"/>
                <w:lang w:val="uk-UA"/>
              </w:rPr>
              <w:t>00,0</w:t>
            </w:r>
          </w:p>
        </w:tc>
        <w:tc>
          <w:tcPr>
            <w:tcW w:w="1309" w:type="dxa"/>
          </w:tcPr>
          <w:p w14:paraId="3E6D644E" w14:textId="6531A3B2" w:rsidR="00B7100F" w:rsidRDefault="00EF767C" w:rsidP="00191012">
            <w:pPr>
              <w:jc w:val="center"/>
              <w:rPr>
                <w:sz w:val="24"/>
                <w:szCs w:val="24"/>
                <w:lang w:val="uk-UA"/>
              </w:rPr>
            </w:pPr>
            <w:r>
              <w:rPr>
                <w:sz w:val="24"/>
                <w:szCs w:val="24"/>
                <w:lang w:val="uk-UA"/>
              </w:rPr>
              <w:t>15</w:t>
            </w:r>
            <w:r w:rsidR="008202F7">
              <w:rPr>
                <w:sz w:val="24"/>
                <w:szCs w:val="24"/>
                <w:lang w:val="uk-UA"/>
              </w:rPr>
              <w:t>86,8</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xml:space="preserve">, </w:t>
            </w:r>
            <w:r w:rsidR="00DA6893">
              <w:rPr>
                <w:sz w:val="24"/>
                <w:szCs w:val="24"/>
                <w:lang w:val="uk-UA"/>
              </w:rPr>
              <w:lastRenderedPageBreak/>
              <w:t>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4683A872" w:rsidR="00B7100F" w:rsidRPr="00035DAA" w:rsidRDefault="00EF767C" w:rsidP="00191012">
            <w:pPr>
              <w:jc w:val="center"/>
              <w:rPr>
                <w:sz w:val="24"/>
                <w:szCs w:val="24"/>
                <w:lang w:val="uk-UA"/>
              </w:rPr>
            </w:pPr>
            <w:r>
              <w:rPr>
                <w:sz w:val="24"/>
                <w:szCs w:val="24"/>
                <w:lang w:val="uk-UA"/>
              </w:rPr>
              <w:t>2</w:t>
            </w:r>
            <w:r w:rsidR="00B7100F">
              <w:rPr>
                <w:sz w:val="24"/>
                <w:szCs w:val="24"/>
                <w:lang w:val="uk-UA"/>
              </w:rPr>
              <w:t>500,0</w:t>
            </w:r>
          </w:p>
        </w:tc>
        <w:tc>
          <w:tcPr>
            <w:tcW w:w="1309" w:type="dxa"/>
          </w:tcPr>
          <w:p w14:paraId="791A6290" w14:textId="50A61577" w:rsidR="00B7100F" w:rsidRDefault="00EF767C" w:rsidP="00191012">
            <w:pPr>
              <w:jc w:val="center"/>
              <w:rPr>
                <w:sz w:val="24"/>
                <w:szCs w:val="24"/>
                <w:lang w:val="uk-UA"/>
              </w:rPr>
            </w:pPr>
            <w:r>
              <w:rPr>
                <w:sz w:val="24"/>
                <w:szCs w:val="24"/>
                <w:lang w:val="uk-UA"/>
              </w:rPr>
              <w:t>2</w:t>
            </w:r>
            <w:r w:rsidR="008202F7">
              <w:rPr>
                <w:sz w:val="24"/>
                <w:szCs w:val="24"/>
                <w:lang w:val="uk-UA"/>
              </w:rPr>
              <w:t>593,00</w:t>
            </w: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3F2C0108" w:rsidR="00B7100F" w:rsidRDefault="00B7100F" w:rsidP="00191012">
            <w:pPr>
              <w:jc w:val="center"/>
              <w:rPr>
                <w:sz w:val="24"/>
                <w:szCs w:val="24"/>
                <w:lang w:val="uk-UA"/>
              </w:rPr>
            </w:pPr>
            <w:r>
              <w:rPr>
                <w:sz w:val="24"/>
                <w:szCs w:val="24"/>
                <w:lang w:val="uk-UA"/>
              </w:rPr>
              <w:t>100,0</w:t>
            </w: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6F894241" w:rsidR="00B7100F" w:rsidRPr="00B6658F" w:rsidRDefault="00B7100F" w:rsidP="00191012">
            <w:pPr>
              <w:jc w:val="center"/>
              <w:rPr>
                <w:sz w:val="24"/>
                <w:szCs w:val="24"/>
                <w:lang w:val="uk-UA"/>
              </w:rPr>
            </w:pPr>
            <w:r w:rsidRPr="00B6658F">
              <w:rPr>
                <w:sz w:val="24"/>
                <w:szCs w:val="24"/>
                <w:lang w:val="uk-UA"/>
              </w:rPr>
              <w:t>2300,0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FE95B96" w:rsidR="00B7100F" w:rsidRPr="00035DAA" w:rsidRDefault="00B7100F" w:rsidP="00191012">
            <w:pPr>
              <w:jc w:val="center"/>
              <w:rPr>
                <w:sz w:val="24"/>
                <w:szCs w:val="24"/>
                <w:lang w:val="uk-UA"/>
              </w:rPr>
            </w:pPr>
            <w:r>
              <w:rPr>
                <w:sz w:val="24"/>
                <w:szCs w:val="24"/>
                <w:lang w:val="uk-UA"/>
              </w:rPr>
              <w:t>550,0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55679608" w:rsidR="00AD6BD1" w:rsidRDefault="00AD6BD1" w:rsidP="00AD6BD1">
            <w:pPr>
              <w:jc w:val="center"/>
              <w:rPr>
                <w:sz w:val="24"/>
                <w:szCs w:val="24"/>
                <w:lang w:val="uk-UA"/>
              </w:rPr>
            </w:pPr>
            <w:r>
              <w:rPr>
                <w:sz w:val="24"/>
                <w:szCs w:val="24"/>
                <w:lang w:val="uk-UA"/>
              </w:rPr>
              <w:t>2442,60</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1629444" w:rsidR="00AD6BD1" w:rsidRPr="00AD6BD1" w:rsidRDefault="00AD6BD1" w:rsidP="00AD6BD1">
            <w:pPr>
              <w:jc w:val="center"/>
              <w:rPr>
                <w:sz w:val="24"/>
                <w:szCs w:val="24"/>
                <w:lang w:val="uk-UA"/>
              </w:rPr>
            </w:pPr>
            <w:r>
              <w:rPr>
                <w:sz w:val="24"/>
                <w:szCs w:val="24"/>
                <w:lang w:val="uk-UA"/>
              </w:rPr>
              <w:t>584,10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Утримання вулично-дорожньої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6602EF52" w:rsidR="00B7100F" w:rsidRDefault="00B7100F" w:rsidP="00191012">
            <w:pPr>
              <w:jc w:val="center"/>
              <w:rPr>
                <w:sz w:val="24"/>
                <w:szCs w:val="24"/>
                <w:lang w:val="uk-UA"/>
              </w:rPr>
            </w:pPr>
            <w:r>
              <w:rPr>
                <w:sz w:val="24"/>
                <w:szCs w:val="24"/>
                <w:lang w:val="uk-UA"/>
              </w:rPr>
              <w:t>650,0</w:t>
            </w:r>
          </w:p>
        </w:tc>
        <w:tc>
          <w:tcPr>
            <w:tcW w:w="1309" w:type="dxa"/>
          </w:tcPr>
          <w:p w14:paraId="5352C48E" w14:textId="0CBBD53B" w:rsidR="00B7100F" w:rsidRDefault="00EE5159" w:rsidP="00191012">
            <w:pPr>
              <w:jc w:val="center"/>
              <w:rPr>
                <w:sz w:val="24"/>
                <w:szCs w:val="24"/>
                <w:lang w:val="uk-UA"/>
              </w:rPr>
            </w:pPr>
            <w:r>
              <w:rPr>
                <w:sz w:val="24"/>
                <w:szCs w:val="24"/>
                <w:lang w:val="uk-UA"/>
              </w:rPr>
              <w:t>690,3</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w:t>
            </w:r>
            <w:r w:rsidRPr="00EE540D">
              <w:rPr>
                <w:sz w:val="24"/>
                <w:szCs w:val="24"/>
                <w:lang w:val="uk-UA"/>
              </w:rPr>
              <w:lastRenderedPageBreak/>
              <w:t>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інші джерела</w:t>
            </w:r>
          </w:p>
        </w:tc>
        <w:tc>
          <w:tcPr>
            <w:tcW w:w="1385" w:type="dxa"/>
            <w:shd w:val="clear" w:color="auto" w:fill="FFFFFF"/>
          </w:tcPr>
          <w:p w14:paraId="2CCF4AE0" w14:textId="19A410A2" w:rsidR="00B7100F" w:rsidRDefault="00B7100F" w:rsidP="00191012">
            <w:pPr>
              <w:jc w:val="center"/>
              <w:rPr>
                <w:sz w:val="24"/>
                <w:szCs w:val="24"/>
                <w:lang w:val="uk-UA"/>
              </w:rPr>
            </w:pPr>
            <w:r>
              <w:rPr>
                <w:sz w:val="24"/>
                <w:szCs w:val="24"/>
                <w:lang w:val="uk-UA"/>
              </w:rPr>
              <w:lastRenderedPageBreak/>
              <w:t>250,0</w:t>
            </w:r>
          </w:p>
        </w:tc>
        <w:tc>
          <w:tcPr>
            <w:tcW w:w="1309" w:type="dxa"/>
          </w:tcPr>
          <w:p w14:paraId="4C550E89" w14:textId="3AA1C22C" w:rsidR="00B7100F" w:rsidRDefault="00EE5159" w:rsidP="00191012">
            <w:pPr>
              <w:jc w:val="center"/>
              <w:rPr>
                <w:sz w:val="24"/>
                <w:szCs w:val="24"/>
                <w:lang w:val="uk-UA"/>
              </w:rPr>
            </w:pPr>
            <w:r>
              <w:rPr>
                <w:sz w:val="24"/>
                <w:szCs w:val="24"/>
                <w:lang w:val="uk-UA"/>
              </w:rPr>
              <w:t>265,5</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 xml:space="preserve">Зменшення кількості </w:t>
            </w:r>
            <w:r>
              <w:rPr>
                <w:sz w:val="24"/>
                <w:szCs w:val="24"/>
                <w:lang w:val="uk-UA"/>
              </w:rPr>
              <w:lastRenderedPageBreak/>
              <w:t>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25369659" w:rsidR="00B7100F" w:rsidRPr="00035DAA" w:rsidRDefault="00B7100F" w:rsidP="00332287">
            <w:pPr>
              <w:jc w:val="center"/>
              <w:rPr>
                <w:sz w:val="24"/>
                <w:szCs w:val="24"/>
                <w:lang w:val="uk-UA"/>
              </w:rPr>
            </w:pPr>
            <w:r>
              <w:rPr>
                <w:sz w:val="24"/>
                <w:szCs w:val="24"/>
                <w:lang w:val="uk-UA"/>
              </w:rPr>
              <w:t>22000,0</w:t>
            </w:r>
          </w:p>
        </w:tc>
        <w:tc>
          <w:tcPr>
            <w:tcW w:w="1309" w:type="dxa"/>
          </w:tcPr>
          <w:p w14:paraId="148C6715" w14:textId="05694468" w:rsidR="00B7100F" w:rsidRDefault="00EE5159" w:rsidP="00191012">
            <w:pPr>
              <w:jc w:val="center"/>
              <w:rPr>
                <w:sz w:val="24"/>
                <w:szCs w:val="24"/>
                <w:lang w:val="uk-UA"/>
              </w:rPr>
            </w:pPr>
            <w:r>
              <w:rPr>
                <w:sz w:val="24"/>
                <w:szCs w:val="24"/>
                <w:lang w:val="uk-UA"/>
              </w:rPr>
              <w:t>23364,0</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3E9FAC1E" w:rsidR="00B7100F" w:rsidRPr="00035DAA" w:rsidRDefault="00EF767C" w:rsidP="00191012">
            <w:pPr>
              <w:jc w:val="center"/>
              <w:rPr>
                <w:sz w:val="24"/>
                <w:szCs w:val="24"/>
                <w:lang w:val="uk-UA"/>
              </w:rPr>
            </w:pPr>
            <w:r>
              <w:rPr>
                <w:sz w:val="24"/>
                <w:szCs w:val="24"/>
                <w:lang w:val="uk-UA"/>
              </w:rPr>
              <w:t>3</w:t>
            </w:r>
            <w:r w:rsidR="00B7100F">
              <w:rPr>
                <w:sz w:val="24"/>
                <w:szCs w:val="24"/>
                <w:lang w:val="uk-UA"/>
              </w:rPr>
              <w:t>00,0</w:t>
            </w:r>
          </w:p>
        </w:tc>
        <w:tc>
          <w:tcPr>
            <w:tcW w:w="1309" w:type="dxa"/>
          </w:tcPr>
          <w:p w14:paraId="6F6CF92A" w14:textId="6522455B" w:rsidR="00B7100F" w:rsidRDefault="00EF767C" w:rsidP="00191012">
            <w:pPr>
              <w:jc w:val="center"/>
              <w:rPr>
                <w:sz w:val="24"/>
                <w:szCs w:val="24"/>
                <w:lang w:val="uk-UA"/>
              </w:rPr>
            </w:pPr>
            <w:r>
              <w:rPr>
                <w:sz w:val="24"/>
                <w:szCs w:val="24"/>
                <w:lang w:val="uk-UA"/>
              </w:rPr>
              <w:t>3</w:t>
            </w:r>
            <w:r w:rsidR="00EE5159">
              <w:rPr>
                <w:sz w:val="24"/>
                <w:szCs w:val="24"/>
                <w:lang w:val="uk-UA"/>
              </w:rPr>
              <w:t>12,40</w:t>
            </w: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7EACA197" w:rsidR="00B7100F" w:rsidRDefault="00EE5159" w:rsidP="00191012">
            <w:pPr>
              <w:jc w:val="center"/>
              <w:rPr>
                <w:sz w:val="24"/>
                <w:szCs w:val="24"/>
                <w:lang w:val="uk-UA"/>
              </w:rPr>
            </w:pPr>
            <w:r>
              <w:rPr>
                <w:sz w:val="24"/>
                <w:szCs w:val="24"/>
                <w:lang w:val="uk-UA"/>
              </w:rPr>
              <w:t>3186,0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77777777" w:rsidR="00B7100F" w:rsidRDefault="00B7100F" w:rsidP="00191012">
            <w:pPr>
              <w:jc w:val="center"/>
              <w:rPr>
                <w:sz w:val="24"/>
                <w:szCs w:val="24"/>
                <w:lang w:val="uk-UA"/>
              </w:rPr>
            </w:pPr>
            <w:r>
              <w:rPr>
                <w:sz w:val="24"/>
                <w:szCs w:val="24"/>
                <w:lang w:val="uk-UA"/>
              </w:rPr>
              <w:t>750,0</w:t>
            </w:r>
          </w:p>
        </w:tc>
        <w:tc>
          <w:tcPr>
            <w:tcW w:w="1309" w:type="dxa"/>
          </w:tcPr>
          <w:p w14:paraId="2B97624E" w14:textId="7BB58AD1" w:rsidR="00B7100F" w:rsidRDefault="00EE5159" w:rsidP="00191012">
            <w:pPr>
              <w:jc w:val="center"/>
              <w:rPr>
                <w:sz w:val="24"/>
                <w:szCs w:val="24"/>
                <w:lang w:val="uk-UA"/>
              </w:rPr>
            </w:pPr>
            <w:r>
              <w:rPr>
                <w:sz w:val="24"/>
                <w:szCs w:val="24"/>
                <w:lang w:val="uk-UA"/>
              </w:rPr>
              <w:t>796,50</w:t>
            </w: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lastRenderedPageBreak/>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77777777" w:rsidR="00B7100F" w:rsidRDefault="00B7100F" w:rsidP="00191012">
            <w:pPr>
              <w:jc w:val="center"/>
              <w:rPr>
                <w:sz w:val="24"/>
                <w:szCs w:val="24"/>
                <w:lang w:val="uk-UA"/>
              </w:rPr>
            </w:pPr>
            <w:r>
              <w:rPr>
                <w:sz w:val="24"/>
                <w:szCs w:val="24"/>
                <w:lang w:val="uk-UA"/>
              </w:rPr>
              <w:t>300,0</w:t>
            </w:r>
          </w:p>
        </w:tc>
        <w:tc>
          <w:tcPr>
            <w:tcW w:w="1309" w:type="dxa"/>
          </w:tcPr>
          <w:p w14:paraId="2F14ED89" w14:textId="56CEEF2A" w:rsidR="00B7100F" w:rsidRDefault="008202F7" w:rsidP="00191012">
            <w:pPr>
              <w:jc w:val="center"/>
              <w:rPr>
                <w:sz w:val="24"/>
                <w:szCs w:val="24"/>
                <w:lang w:val="uk-UA"/>
              </w:rPr>
            </w:pPr>
            <w:r>
              <w:rPr>
                <w:sz w:val="24"/>
                <w:szCs w:val="24"/>
                <w:lang w:val="uk-UA"/>
              </w:rPr>
              <w:t>300,0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13368242" w:rsidR="00B7100F" w:rsidRDefault="00B7100F" w:rsidP="00191012">
            <w:pPr>
              <w:jc w:val="center"/>
              <w:rPr>
                <w:sz w:val="24"/>
                <w:szCs w:val="24"/>
                <w:lang w:val="uk-UA"/>
              </w:rPr>
            </w:pPr>
            <w:r>
              <w:rPr>
                <w:sz w:val="24"/>
                <w:szCs w:val="24"/>
                <w:lang w:val="uk-UA"/>
              </w:rPr>
              <w:t>1500,0</w:t>
            </w:r>
          </w:p>
        </w:tc>
        <w:tc>
          <w:tcPr>
            <w:tcW w:w="1309" w:type="dxa"/>
          </w:tcPr>
          <w:p w14:paraId="25068765" w14:textId="774E4E92" w:rsidR="00B7100F" w:rsidRDefault="00AD6BD1" w:rsidP="00191012">
            <w:pPr>
              <w:jc w:val="center"/>
              <w:rPr>
                <w:sz w:val="24"/>
                <w:szCs w:val="24"/>
                <w:lang w:val="uk-UA"/>
              </w:rPr>
            </w:pPr>
            <w:r>
              <w:rPr>
                <w:sz w:val="24"/>
                <w:szCs w:val="24"/>
                <w:lang w:val="uk-UA"/>
              </w:rPr>
              <w:t>1593,00</w:t>
            </w: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 xml:space="preserve">4.4 </w:t>
            </w:r>
            <w:r>
              <w:rPr>
                <w:sz w:val="24"/>
                <w:szCs w:val="24"/>
                <w:lang w:val="uk-UA"/>
              </w:rPr>
              <w:t>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79C671F9" w:rsidR="00E562E8" w:rsidRDefault="00E562E8" w:rsidP="00191012">
            <w:pPr>
              <w:jc w:val="center"/>
              <w:rPr>
                <w:sz w:val="24"/>
                <w:szCs w:val="24"/>
                <w:lang w:val="uk-UA"/>
              </w:rPr>
            </w:pPr>
            <w:r>
              <w:rPr>
                <w:sz w:val="24"/>
                <w:szCs w:val="24"/>
                <w:lang w:val="uk-UA"/>
              </w:rPr>
              <w:t>1371,65</w:t>
            </w:r>
          </w:p>
        </w:tc>
        <w:tc>
          <w:tcPr>
            <w:tcW w:w="1309" w:type="dxa"/>
          </w:tcPr>
          <w:p w14:paraId="4E80D00D" w14:textId="77777777" w:rsidR="00E562E8" w:rsidRDefault="00E562E8" w:rsidP="00191012">
            <w:pPr>
              <w:jc w:val="center"/>
              <w:rPr>
                <w:sz w:val="24"/>
                <w:szCs w:val="24"/>
                <w:lang w:val="uk-UA"/>
              </w:rPr>
            </w:pP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w:t>
            </w:r>
            <w:r w:rsidRPr="009C070E">
              <w:rPr>
                <w:bCs/>
                <w:color w:val="000000"/>
                <w:sz w:val="24"/>
                <w:szCs w:val="24"/>
                <w:lang w:val="uk-UA" w:eastAsia="ar-SA"/>
              </w:rPr>
              <w:lastRenderedPageBreak/>
              <w:t>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0B59B1AC" w:rsidR="00B7100F" w:rsidRDefault="00B7100F" w:rsidP="00191012">
            <w:pPr>
              <w:jc w:val="center"/>
              <w:rPr>
                <w:sz w:val="24"/>
                <w:szCs w:val="24"/>
                <w:lang w:val="uk-UA"/>
              </w:rPr>
            </w:pPr>
            <w:r>
              <w:rPr>
                <w:sz w:val="24"/>
                <w:szCs w:val="24"/>
                <w:lang w:val="uk-UA"/>
              </w:rPr>
              <w:t>100,0</w:t>
            </w:r>
          </w:p>
        </w:tc>
        <w:tc>
          <w:tcPr>
            <w:tcW w:w="1309" w:type="dxa"/>
          </w:tcPr>
          <w:p w14:paraId="335199B3" w14:textId="5250163C" w:rsidR="00B7100F" w:rsidRDefault="00AD6BD1" w:rsidP="00191012">
            <w:pPr>
              <w:jc w:val="center"/>
              <w:rPr>
                <w:sz w:val="24"/>
                <w:szCs w:val="24"/>
                <w:lang w:val="uk-UA"/>
              </w:rPr>
            </w:pPr>
            <w:r>
              <w:rPr>
                <w:sz w:val="24"/>
                <w:szCs w:val="24"/>
                <w:lang w:val="uk-UA"/>
              </w:rPr>
              <w:t>106,2</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19431E52"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виготовлення дозвільної та технічної документації стандартного</w:t>
            </w:r>
            <w:r w:rsidR="00E562E8">
              <w:rPr>
                <w:sz w:val="24"/>
                <w:szCs w:val="24"/>
                <w:lang w:val="uk-UA"/>
              </w:rPr>
              <w:t xml:space="preserve"> приєднання мереж електропостачання</w:t>
            </w:r>
            <w:r w:rsidR="00E562E8">
              <w:rPr>
                <w:sz w:val="24"/>
                <w:szCs w:val="24"/>
                <w:lang w:val="uk-UA"/>
              </w:rPr>
              <w:t>.</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6FED1E37" w:rsidR="00B7100F" w:rsidRDefault="00E562E8" w:rsidP="00191012">
            <w:pPr>
              <w:jc w:val="center"/>
              <w:rPr>
                <w:b/>
                <w:sz w:val="24"/>
                <w:szCs w:val="24"/>
                <w:lang w:val="uk-UA"/>
              </w:rPr>
            </w:pPr>
            <w:r>
              <w:rPr>
                <w:sz w:val="24"/>
                <w:szCs w:val="24"/>
                <w:lang w:val="uk-UA"/>
              </w:rPr>
              <w:t>400</w:t>
            </w:r>
            <w:r w:rsidR="00B7100F">
              <w:rPr>
                <w:sz w:val="24"/>
                <w:szCs w:val="24"/>
                <w:lang w:val="uk-UA"/>
              </w:rPr>
              <w:t>,0</w:t>
            </w:r>
          </w:p>
        </w:tc>
        <w:tc>
          <w:tcPr>
            <w:tcW w:w="1309" w:type="dxa"/>
          </w:tcPr>
          <w:p w14:paraId="095433C9" w14:textId="2D9696B3" w:rsidR="00B7100F" w:rsidRDefault="00EF767C" w:rsidP="00191012">
            <w:pPr>
              <w:jc w:val="center"/>
              <w:rPr>
                <w:sz w:val="24"/>
                <w:szCs w:val="24"/>
                <w:lang w:val="uk-UA"/>
              </w:rPr>
            </w:pPr>
            <w:r>
              <w:rPr>
                <w:sz w:val="24"/>
                <w:szCs w:val="24"/>
                <w:lang w:val="uk-UA"/>
              </w:rPr>
              <w:t>1</w:t>
            </w:r>
            <w:r w:rsidR="00AD6BD1">
              <w:rPr>
                <w:sz w:val="24"/>
                <w:szCs w:val="24"/>
                <w:lang w:val="uk-UA"/>
              </w:rPr>
              <w:t>53,10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2394B13F" w:rsidR="00B7100F" w:rsidRDefault="00B7100F" w:rsidP="00191012">
            <w:pPr>
              <w:jc w:val="center"/>
              <w:rPr>
                <w:b/>
                <w:sz w:val="24"/>
                <w:szCs w:val="24"/>
                <w:lang w:val="uk-UA"/>
              </w:rPr>
            </w:pPr>
            <w:r>
              <w:rPr>
                <w:sz w:val="24"/>
                <w:szCs w:val="24"/>
                <w:lang w:val="uk-UA"/>
              </w:rPr>
              <w:t>5</w:t>
            </w:r>
            <w:r w:rsidRPr="00E650AB">
              <w:rPr>
                <w:sz w:val="24"/>
                <w:szCs w:val="24"/>
                <w:lang w:val="uk-UA"/>
              </w:rPr>
              <w:t>0,0</w:t>
            </w:r>
          </w:p>
        </w:tc>
        <w:tc>
          <w:tcPr>
            <w:tcW w:w="1309" w:type="dxa"/>
          </w:tcPr>
          <w:p w14:paraId="5E55520A" w14:textId="6FEFFF07" w:rsidR="00B7100F" w:rsidRDefault="00AD6BD1" w:rsidP="00191012">
            <w:pPr>
              <w:jc w:val="center"/>
              <w:rPr>
                <w:sz w:val="24"/>
                <w:szCs w:val="24"/>
                <w:lang w:val="uk-UA"/>
              </w:rPr>
            </w:pPr>
            <w:r>
              <w:rPr>
                <w:sz w:val="24"/>
                <w:szCs w:val="24"/>
                <w:lang w:val="uk-UA"/>
              </w:rPr>
              <w:t>53,10</w:t>
            </w: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 xml:space="preserve">ефективного використання </w:t>
            </w:r>
            <w:r>
              <w:rPr>
                <w:sz w:val="24"/>
                <w:szCs w:val="24"/>
                <w:lang w:val="uk-UA"/>
              </w:rPr>
              <w:lastRenderedPageBreak/>
              <w:t>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6E732712" w:rsidR="00593E33" w:rsidRPr="006442D4" w:rsidRDefault="00593E33" w:rsidP="00593E33">
            <w:pPr>
              <w:jc w:val="center"/>
              <w:rPr>
                <w:b/>
                <w:sz w:val="24"/>
                <w:szCs w:val="24"/>
                <w:lang w:val="uk-UA"/>
              </w:rPr>
            </w:pPr>
            <w:r>
              <w:rPr>
                <w:b/>
                <w:sz w:val="24"/>
                <w:szCs w:val="24"/>
                <w:lang w:val="uk-UA"/>
              </w:rPr>
              <w:t>39297,65</w:t>
            </w:r>
            <w:bookmarkStart w:id="0" w:name="_GoBack"/>
            <w:bookmarkEnd w:id="0"/>
          </w:p>
        </w:tc>
        <w:tc>
          <w:tcPr>
            <w:tcW w:w="1309" w:type="dxa"/>
          </w:tcPr>
          <w:p w14:paraId="50F53DE2" w14:textId="5CE5D899" w:rsidR="00E1042F" w:rsidRPr="00AD6BD1" w:rsidRDefault="00EF767C" w:rsidP="00E1042F">
            <w:pPr>
              <w:jc w:val="center"/>
              <w:rPr>
                <w:b/>
                <w:sz w:val="24"/>
                <w:szCs w:val="24"/>
                <w:lang w:val="uk-UA"/>
              </w:rPr>
            </w:pPr>
            <w:r>
              <w:rPr>
                <w:b/>
                <w:sz w:val="24"/>
                <w:szCs w:val="24"/>
                <w:lang w:val="uk-UA"/>
              </w:rPr>
              <w:t>40210,24</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2"/>
      <w:headerReference w:type="default" r:id="rId13"/>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2A84A" w14:textId="77777777" w:rsidR="00047C08" w:rsidRDefault="00047C08">
      <w:r>
        <w:separator/>
      </w:r>
    </w:p>
  </w:endnote>
  <w:endnote w:type="continuationSeparator" w:id="0">
    <w:p w14:paraId="017F7657" w14:textId="77777777" w:rsidR="00047C08" w:rsidRDefault="0004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D9FBD" w14:textId="77777777" w:rsidR="00047C08" w:rsidRDefault="00047C08">
      <w:r>
        <w:separator/>
      </w:r>
    </w:p>
  </w:footnote>
  <w:footnote w:type="continuationSeparator" w:id="0">
    <w:p w14:paraId="7579FC8E" w14:textId="77777777" w:rsidR="00047C08" w:rsidRDefault="0004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93E33">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0696D-09B0-4F38-86CF-5F3D875E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1380</Words>
  <Characters>7867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9229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11</cp:revision>
  <cp:lastPrinted>2022-01-17T10:47:00Z</cp:lastPrinted>
  <dcterms:created xsi:type="dcterms:W3CDTF">2021-11-08T10:38:00Z</dcterms:created>
  <dcterms:modified xsi:type="dcterms:W3CDTF">2022-01-18T14:44:00Z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