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40"/>
        <w:gridCol w:w="1260"/>
        <w:gridCol w:w="40"/>
        <w:gridCol w:w="1260"/>
        <w:gridCol w:w="4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E962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E96213" w:rsidRDefault="00E96213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23.03.2018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E96213"/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E96213"/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E96213" w:rsidRDefault="00E96213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( 0111160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( 0111160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( 0111160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( 0990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pPr>
              <w:jc w:val="both"/>
            </w:pPr>
            <w:proofErr w:type="spellStart"/>
            <w:r>
              <w:rPr>
                <w:sz w:val="24"/>
              </w:rPr>
              <w:t>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заклади</w:t>
            </w:r>
            <w:proofErr w:type="spellEnd"/>
            <w:r>
              <w:rPr>
                <w:sz w:val="24"/>
              </w:rPr>
              <w:t xml:space="preserve"> та заходи у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</w:p>
        </w:tc>
        <w:tc>
          <w:tcPr>
            <w:tcW w:w="2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E96213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E96213" w:rsidRDefault="00E96213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6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96213" w:rsidRDefault="00DE69D6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348200,00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348200,00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Укураїни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місцеве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рпішення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відл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освіти</w:t>
            </w:r>
            <w:proofErr w:type="spellEnd"/>
            <w:r>
              <w:rPr>
                <w:i/>
                <w:sz w:val="24"/>
              </w:rPr>
              <w:t xml:space="preserve"> на 2018-2020 роки",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</w:t>
            </w:r>
            <w:r>
              <w:rPr>
                <w:i/>
                <w:sz w:val="24"/>
              </w:rPr>
              <w:t>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16.03.2018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</w:t>
            </w:r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E96213" w:rsidRDefault="00DE69D6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roofErr w:type="spellStart"/>
            <w:r>
              <w:rPr>
                <w:i/>
                <w:sz w:val="24"/>
              </w:rPr>
              <w:t>Забезпечення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ідвозу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учнів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загальноосвітніх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навчальних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закладів</w:t>
            </w:r>
            <w:proofErr w:type="spellEnd"/>
            <w:r>
              <w:rPr>
                <w:i/>
                <w:sz w:val="24"/>
              </w:rPr>
              <w:t xml:space="preserve"> та у </w:t>
            </w:r>
            <w:proofErr w:type="spellStart"/>
            <w:r>
              <w:rPr>
                <w:i/>
                <w:sz w:val="24"/>
              </w:rPr>
              <w:t>зворотньому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напрямку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стимулювання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обдарованих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дітей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0111162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0990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програми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заходи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96213" w:rsidRDefault="00E96213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E96213" w:rsidRDefault="00E96213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E96213" w:rsidRDefault="00E962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E96213" w:rsidRDefault="00E96213">
            <w:pPr>
              <w:pStyle w:val="EMPTYCELLSTYLE"/>
            </w:pPr>
          </w:p>
        </w:tc>
        <w:tc>
          <w:tcPr>
            <w:tcW w:w="18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E96213" w:rsidRDefault="00E96213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E96213" w:rsidRDefault="00E962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E96213" w:rsidRDefault="00E9621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0111162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b/>
              </w:rPr>
              <w:t>0990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програми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заходи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освіти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b/>
              </w:rPr>
              <w:t>348200,00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b/>
              </w:rPr>
              <w:t>348200,00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6"/>
              </w:rPr>
              <w:t>п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>ідвозу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загальноосвітніх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навчальних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закладів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у 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зворонньому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напрямку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підтримка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обдарованих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дітей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t>348200,00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t>348200,00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b/>
              </w:rPr>
              <w:t>348200,00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b/>
              </w:rPr>
              <w:t>348200,00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E96213" w:rsidRDefault="00E96213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E96213" w:rsidRDefault="00E9621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E96213" w:rsidRDefault="00E9621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E96213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sz w:val="16"/>
              </w:rPr>
              <w:t>348200,00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t>348200,00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b/>
                <w:sz w:val="16"/>
              </w:rPr>
              <w:t>348200,00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b/>
              </w:rPr>
              <w:t>348200,00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0111162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програми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заходи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освіти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i/>
                <w:sz w:val="14"/>
              </w:rPr>
              <w:t>ідвозу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учнів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загальноосвітніх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навчальних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закладів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у 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зворонньому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напрямку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підтримка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обдарованих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дітей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ідвіз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учнів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sz w:val="14"/>
              </w:rPr>
              <w:t>318,20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дітей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потребують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перевезення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proofErr w:type="gram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sz w:val="14"/>
              </w:rPr>
              <w:t>129,00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охоплення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ідвозом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ідтримку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обдарованих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дітей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sz w:val="14"/>
              </w:rPr>
              <w:t>30,00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передбачено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виплату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премій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proofErr w:type="gram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sz w:val="14"/>
              </w:rPr>
              <w:t>15,00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прем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особі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6213" w:rsidRDefault="00DE69D6">
            <w:pPr>
              <w:ind w:right="60"/>
              <w:jc w:val="right"/>
            </w:pPr>
            <w:r>
              <w:rPr>
                <w:sz w:val="14"/>
              </w:rPr>
              <w:t>2000,00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96213" w:rsidRDefault="00E96213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96213" w:rsidRDefault="00E96213">
            <w:pPr>
              <w:pStyle w:val="EMPTYCELLSTYLE"/>
            </w:pPr>
          </w:p>
        </w:tc>
        <w:tc>
          <w:tcPr>
            <w:tcW w:w="124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88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213" w:rsidRDefault="00DE69D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96213" w:rsidRDefault="00E96213">
            <w:pPr>
              <w:pStyle w:val="EMPTYCELLSTYLE"/>
            </w:pPr>
          </w:p>
        </w:tc>
        <w:tc>
          <w:tcPr>
            <w:tcW w:w="124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88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96213" w:rsidRDefault="00E96213">
            <w:pPr>
              <w:pStyle w:val="EMPTYCELLSTYLE"/>
            </w:pPr>
          </w:p>
        </w:tc>
        <w:tc>
          <w:tcPr>
            <w:tcW w:w="124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88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96213" w:rsidRDefault="00E96213">
            <w:pPr>
              <w:pStyle w:val="EMPTYCELLSTYLE"/>
            </w:pPr>
          </w:p>
        </w:tc>
        <w:tc>
          <w:tcPr>
            <w:tcW w:w="124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88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  <w:tr w:rsidR="00E9621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96213" w:rsidRDefault="00E96213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96213" w:rsidRDefault="00E96213">
            <w:pPr>
              <w:pStyle w:val="EMPTYCELLSTYLE"/>
            </w:pPr>
          </w:p>
        </w:tc>
        <w:tc>
          <w:tcPr>
            <w:tcW w:w="124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213" w:rsidRDefault="00DE69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E96213" w:rsidRDefault="00E96213">
            <w:pPr>
              <w:pStyle w:val="EMPTYCELLSTYLE"/>
            </w:pPr>
          </w:p>
        </w:tc>
        <w:tc>
          <w:tcPr>
            <w:tcW w:w="20" w:type="dxa"/>
          </w:tcPr>
          <w:p w:rsidR="00E96213" w:rsidRDefault="00E96213">
            <w:pPr>
              <w:pStyle w:val="EMPTYCELLSTYLE"/>
            </w:pPr>
          </w:p>
        </w:tc>
        <w:tc>
          <w:tcPr>
            <w:tcW w:w="380" w:type="dxa"/>
          </w:tcPr>
          <w:p w:rsidR="00E96213" w:rsidRDefault="00E96213">
            <w:pPr>
              <w:pStyle w:val="EMPTYCELLSTYLE"/>
            </w:pPr>
          </w:p>
        </w:tc>
      </w:tr>
    </w:tbl>
    <w:p w:rsidR="00000000" w:rsidRDefault="00DE69D6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3"/>
    <w:rsid w:val="00DE69D6"/>
    <w:rsid w:val="00E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2018-03-26T11:20:00Z</dcterms:created>
  <dcterms:modified xsi:type="dcterms:W3CDTF">2018-03-26T11:20:00Z</dcterms:modified>
</cp:coreProperties>
</file>