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Рішення 12 сесії 8 скликання</w:t>
      </w:r>
    </w:p>
    <w:p w:rsidR="00BC13E5" w:rsidRPr="000973CB" w:rsidRDefault="0068728D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13E5" w:rsidRPr="000973CB">
        <w:rPr>
          <w:rFonts w:ascii="Times New Roman" w:hAnsi="Times New Roman" w:cs="Times New Roman"/>
          <w:b/>
          <w:sz w:val="28"/>
          <w:szCs w:val="28"/>
          <w:lang w:val="uk-UA"/>
        </w:rPr>
        <w:t>«    »________________ 2021 №____</w:t>
      </w: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BC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РОЗВИТКУ КУЛЬТУРИТ </w:t>
      </w:r>
    </w:p>
    <w:p w:rsidR="00BC13E5" w:rsidRPr="000973CB" w:rsidRDefault="00BC13E5" w:rsidP="00BC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ДУХОВНОГО ВІДРОДЖЕННЯ </w:t>
      </w:r>
    </w:p>
    <w:p w:rsidR="00BC13E5" w:rsidRPr="000973CB" w:rsidRDefault="00BC13E5" w:rsidP="00BC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ТЕРИТОРІАЛЬНОЇ ГРОМАДИ</w:t>
      </w:r>
    </w:p>
    <w:p w:rsidR="00BC13E5" w:rsidRPr="000973CB" w:rsidRDefault="00BC13E5" w:rsidP="00BC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НА 2022-2024 РОКИ</w:t>
      </w: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567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BC13E5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proofErr w:type="spellStart"/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Якушинці</w:t>
      </w:r>
      <w:proofErr w:type="spellEnd"/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9645B" w:rsidRPr="000973CB" w:rsidRDefault="00D9645B" w:rsidP="00D96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D9645B" w:rsidRPr="000973CB" w:rsidRDefault="00D9645B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13E5" w:rsidRPr="000973CB" w:rsidRDefault="005F62EA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СХВАЛЕНО </w:t>
      </w:r>
    </w:p>
    <w:p w:rsidR="005F62EA" w:rsidRPr="000973CB" w:rsidRDefault="005F62EA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Рішенням виконавчого комітету </w:t>
      </w:r>
    </w:p>
    <w:p w:rsidR="005F62EA" w:rsidRPr="000973CB" w:rsidRDefault="0068728D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Якушинецької сі</w:t>
      </w:r>
      <w:r w:rsidR="005F62EA" w:rsidRPr="000973CB">
        <w:rPr>
          <w:rFonts w:ascii="Times New Roman" w:hAnsi="Times New Roman" w:cs="Times New Roman"/>
          <w:b/>
          <w:sz w:val="28"/>
          <w:szCs w:val="28"/>
          <w:lang w:val="uk-UA"/>
        </w:rPr>
        <w:t>ль</w:t>
      </w: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сь</w:t>
      </w:r>
      <w:r w:rsidR="005F62EA" w:rsidRPr="000973CB">
        <w:rPr>
          <w:rFonts w:ascii="Times New Roman" w:hAnsi="Times New Roman" w:cs="Times New Roman"/>
          <w:b/>
          <w:sz w:val="28"/>
          <w:szCs w:val="28"/>
          <w:lang w:val="uk-UA"/>
        </w:rPr>
        <w:t>кої ради</w:t>
      </w:r>
    </w:p>
    <w:p w:rsidR="005F62EA" w:rsidRPr="000973CB" w:rsidRDefault="005F62EA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від «___»__________ 2021року № ___</w:t>
      </w:r>
    </w:p>
    <w:p w:rsidR="00BC13E5" w:rsidRPr="000973CB" w:rsidRDefault="00BC13E5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28D" w:rsidRPr="000973CB" w:rsidRDefault="0068728D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777" w:rsidRPr="000973CB" w:rsidRDefault="00C45777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777" w:rsidRPr="000973CB" w:rsidRDefault="00C45777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777" w:rsidRPr="000973CB" w:rsidRDefault="00C45777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28D" w:rsidRPr="000973CB" w:rsidRDefault="0068728D" w:rsidP="005F62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057B" w:rsidRPr="000973CB" w:rsidRDefault="00DC0C22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:rsidR="004F27E5" w:rsidRPr="000973CB" w:rsidRDefault="00850225" w:rsidP="004F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культури та духовного відродження</w:t>
      </w:r>
    </w:p>
    <w:p w:rsidR="007B01B6" w:rsidRPr="000973CB" w:rsidRDefault="00850225" w:rsidP="004F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Якушинецької </w:t>
      </w:r>
      <w:r w:rsidR="004F27E5" w:rsidRPr="0009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  <w:r w:rsidRPr="000973CB">
        <w:rPr>
          <w:rFonts w:ascii="Times New Roman" w:hAnsi="Times New Roman" w:cs="Times New Roman"/>
          <w:b/>
          <w:sz w:val="28"/>
          <w:szCs w:val="28"/>
          <w:lang w:val="uk-UA"/>
        </w:rPr>
        <w:t>на 2022-2024 роки</w:t>
      </w:r>
    </w:p>
    <w:p w:rsidR="004F27E5" w:rsidRPr="000973CB" w:rsidRDefault="004F27E5" w:rsidP="004F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3"/>
        <w:gridCol w:w="5736"/>
      </w:tblGrid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Ініціатор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розроблення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Головний р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озробник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Якушинецької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</w:tr>
      <w:tr w:rsidR="00DC0C22" w:rsidRPr="002C4AA9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Співвиконавці (учасники)</w:t>
            </w:r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480AA7" w:rsidP="00D864A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житлово-комунального господарства, будівництва  та земельних відносин Якушинецької сільської ради, відділ соціального захисту населення та охорони здоров’я Якушинецької сільської ради, служба у справах дітей Якушинецької сільської ради,  з</w:t>
            </w:r>
            <w:r w:rsidR="00D864A3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аклади</w:t>
            </w:r>
            <w:r w:rsidR="00DC0C22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освіти </w:t>
            </w:r>
            <w:r w:rsidR="00D864A3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 сільської ради та їх структурні підрозділи (філії)</w:t>
            </w:r>
          </w:p>
        </w:tc>
      </w:tr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DC0C22" w:rsidRPr="002C4AA9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7B01B6" w:rsidP="00E905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570183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ормування 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інформаційно-культурного простору, забезпечення </w:t>
            </w:r>
            <w:r w:rsidR="00FF664C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сталої динаміки розвитку закладів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</w:t>
            </w:r>
            <w:r w:rsidR="00FF664C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Якушинецької 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громади, створення сприятливих умов для подальшого розвитку культури </w:t>
            </w:r>
            <w:r w:rsidR="00570183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F664C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аматорського мистецтва, 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задоволення культурних і духовних потреб </w:t>
            </w:r>
            <w:r w:rsidR="00FF664C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жителів громади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збереження  традицій </w:t>
            </w:r>
            <w:r w:rsidRPr="000973C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розвиток української культури, підтримка інновацій та креативних проектів</w:t>
            </w:r>
          </w:p>
        </w:tc>
      </w:tr>
      <w:tr w:rsidR="00DC0C22" w:rsidRPr="000973CB" w:rsidTr="00A72CAA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обсяг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фінансових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ресурсів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необхідних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gram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тому </w:t>
            </w:r>
            <w:proofErr w:type="spellStart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  <w:r w:rsidRPr="000973C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C22" w:rsidRPr="000973CB" w:rsidRDefault="00DC0C22" w:rsidP="00E9057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</w:t>
            </w: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22" w:rsidRPr="000973CB" w:rsidRDefault="002C4AA9" w:rsidP="00E9057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10390</w:t>
            </w:r>
            <w:r w:rsidR="00847240"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22" w:rsidRPr="000973CB" w:rsidRDefault="00DC0C22" w:rsidP="00E9057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C22" w:rsidRPr="000973CB" w:rsidRDefault="00570183" w:rsidP="00E9057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Реалізація програми дозволить втілити в життя конкретні </w:t>
            </w:r>
            <w:proofErr w:type="spellStart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проєкти</w:t>
            </w:r>
            <w:proofErr w:type="spellEnd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які сприятимуть забезпеченню оптимально сприятливих та ефективних умов для культурного, духовного, естетичного та соціального розвитку  сільської громади шляхом вирішення найважливіших завдань розвитку культури в </w:t>
            </w:r>
            <w:proofErr w:type="spellStart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Якушинецькій</w:t>
            </w:r>
            <w:proofErr w:type="spellEnd"/>
            <w:r w:rsidRPr="000973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громаді.</w:t>
            </w:r>
          </w:p>
        </w:tc>
      </w:tr>
      <w:tr w:rsidR="00DC0C22" w:rsidRPr="000973CB" w:rsidTr="00A72CA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C22" w:rsidRPr="000973CB" w:rsidRDefault="00DC0C22" w:rsidP="00E90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0973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F" w:rsidRPr="000973CB" w:rsidRDefault="00626675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90B5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</w:t>
            </w:r>
            <w:proofErr w:type="spellEnd"/>
            <w:r w:rsidR="00890B5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громадянської </w:t>
            </w:r>
            <w:proofErr w:type="spellStart"/>
            <w:r w:rsidR="00890B5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партисипації</w:t>
            </w:r>
            <w:proofErr w:type="spellEnd"/>
            <w:r w:rsidR="00890B5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галузі культури;</w:t>
            </w:r>
          </w:p>
          <w:p w:rsidR="00E6257D" w:rsidRPr="000973CB" w:rsidRDefault="00890B5F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</w:t>
            </w:r>
            <w:r w:rsidR="00E6257D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</w:t>
            </w:r>
            <w:proofErr w:type="spellEnd"/>
            <w:r w:rsidR="00E6257D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257D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Data</w:t>
            </w:r>
            <w:proofErr w:type="spellEnd"/>
            <w:r w:rsidR="00E6257D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257D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Base</w:t>
            </w:r>
            <w:proofErr w:type="spellEnd"/>
            <w:r w:rsidR="00E6257D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ресурсів населених пунктів громади;</w:t>
            </w:r>
          </w:p>
          <w:p w:rsidR="00626675" w:rsidRPr="000973CB" w:rsidRDefault="00E6257D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-Створення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мапи культурних ресурсів Якушинецької ТГ;</w:t>
            </w:r>
          </w:p>
          <w:p w:rsidR="00E6257D" w:rsidRPr="000973CB" w:rsidRDefault="00E6257D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-Реалізація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креативних </w:t>
            </w: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 т.ч. розвиток фестивального руху) ;</w:t>
            </w:r>
          </w:p>
          <w:p w:rsidR="004657F0" w:rsidRPr="000973CB" w:rsidRDefault="00E6257D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657F0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8D49A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озширений</w:t>
            </w:r>
            <w:proofErr w:type="spellEnd"/>
            <w:r w:rsidR="008D49A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функціонал закладів культури</w:t>
            </w:r>
            <w:r w:rsidR="004657F0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стабільність роботи </w:t>
            </w:r>
            <w:r w:rsidR="008D49A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E6257D" w:rsidRPr="000973CB" w:rsidRDefault="00325D0A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-Зменшення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відтоку аудиторій (ж</w:t>
            </w:r>
            <w:r w:rsidR="004657F0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ителі громади відвідують місцеві заходи,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66D6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зменшується відтік глядачів у місто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  <w:r w:rsidR="00E6257D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E6257D" w:rsidRPr="000973CB" w:rsidRDefault="00E6257D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-Збільшення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кількості учасників художньої самодіяльності;</w:t>
            </w:r>
          </w:p>
          <w:p w:rsidR="00DC0C22" w:rsidRPr="000973CB" w:rsidRDefault="00E6257D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D49A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Здобуття</w:t>
            </w:r>
            <w:proofErr w:type="spellEnd"/>
            <w:r w:rsidR="008D49A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призових місць 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аматорських колективів у Всеукраїнських та Міжнародних конкурсах</w:t>
            </w:r>
            <w:r w:rsidR="008D49AF"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6195A" w:rsidRPr="000973CB" w:rsidRDefault="00E6195A" w:rsidP="00E90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-Оновлення</w:t>
            </w:r>
            <w:proofErr w:type="spellEnd"/>
            <w:r w:rsidRPr="0009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бібліотечних фондів.</w:t>
            </w:r>
          </w:p>
        </w:tc>
      </w:tr>
    </w:tbl>
    <w:p w:rsidR="00DC0C22" w:rsidRPr="000973CB" w:rsidRDefault="00DC0C22" w:rsidP="00E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6B8" w:rsidRPr="000973CB" w:rsidRDefault="002506B8" w:rsidP="00E905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76AF" w:rsidRPr="000973CB" w:rsidRDefault="003576AF" w:rsidP="00250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3576AF" w:rsidRPr="000973CB" w:rsidRDefault="003576AF" w:rsidP="00250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2506B8" w:rsidRPr="000973CB" w:rsidRDefault="007B01B6" w:rsidP="00250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2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 ВИЗНАЧЕННЯ ПРОБЛЕМИ, НА РОЗВ`ЯЗАННЯ ЯКОЇ СПРЯМОВАНА ПРОГРАМА</w:t>
      </w:r>
    </w:p>
    <w:p w:rsidR="00081D7F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Культура сприяє активній участі громадськості в розбудові сучасної та демократичної держави. </w:t>
      </w:r>
      <w:bookmarkStart w:id="0" w:name="n15"/>
      <w:bookmarkEnd w:id="0"/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Ефективність культурного розвитку громади залежить від взаємодії та відповідальності органів державного та місцевого самоврядування, громадських організацій та творчих спілок, а також  міжнародної співпраці та міжкультурного діалогу. В сучасних умовах культура 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є засобом вирішення соціальних проблем, забезпечуючи мешканцям сучасне якісне дозвілля, долучаючи до справжніх цінностей, створюючи святкову атмосферу, яка формує позитивне самопочуття. </w:t>
      </w:r>
    </w:p>
    <w:p w:rsidR="00876FBE" w:rsidRPr="000973CB" w:rsidRDefault="00876FBE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напрямками роботи закладів культури в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Якушинецькій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є клубна та бібліотечна діяльність.</w:t>
      </w:r>
    </w:p>
    <w:p w:rsidR="00876FBE" w:rsidRPr="000973CB" w:rsidRDefault="00876FBE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Мережа закладів культури клубного типу Якушинецької територіальної громади складається з  комунального закладу «Центр культури та дозвілля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Якушинцької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 з структурними підрозділами в селах: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Зарванці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Майдан,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Некрасове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Широка Гребля,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Пултівці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Махнівка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Дашківці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Лукашівка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Ріжок,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6FBE" w:rsidRPr="000973CB" w:rsidRDefault="00876FBE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Бібліотечні установи також відіграють важливу роль у формуванні культурного й інформаційно-комунікативного середовища Якушинецької громади.</w:t>
      </w:r>
    </w:p>
    <w:p w:rsidR="00876FBE" w:rsidRPr="000973CB" w:rsidRDefault="00876FBE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Якушинецької громади працює комунальний заклад «Публічна бібліотека Якушинецької сільської ради» з філіями в селах: Майдан,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Пултівці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Широка Гребля,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Микулинці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Ріжок,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Некрасове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Дашківці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973CB">
        <w:rPr>
          <w:rFonts w:ascii="Times New Roman" w:hAnsi="Times New Roman" w:cs="Times New Roman"/>
          <w:sz w:val="28"/>
          <w:szCs w:val="28"/>
          <w:lang w:val="uk-UA"/>
        </w:rPr>
        <w:t>Лукашівка</w:t>
      </w:r>
      <w:proofErr w:type="spellEnd"/>
      <w:r w:rsidRPr="000973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6FBE" w:rsidRPr="000973CB" w:rsidRDefault="00876FBE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Саме вони є  головні осередки, навколо яких існує культурне життя в сільській місцевості. </w:t>
      </w:r>
    </w:p>
    <w:p w:rsidR="00876FBE" w:rsidRPr="000973CB" w:rsidRDefault="00876FBE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Дана мережа закладів культури  є оптимальною і при умові повноцінного функціонування спроможна забезпечити  потреби населення громади у культурному обслуговуванні.</w:t>
      </w:r>
    </w:p>
    <w:p w:rsidR="009C277A" w:rsidRPr="000973CB" w:rsidRDefault="009C277A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Кризові явища в економіці протягом останнього десятиріччя негативно вплинули, насамперед, на стан матеріально-технічної бази галузі культури.</w:t>
      </w:r>
    </w:p>
    <w:p w:rsidR="00081D7F" w:rsidRPr="000973CB" w:rsidRDefault="009C277A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Протягом останніх років проведено значну роботу в різних напрямках галузі культури. В громаді збережена мережа установ культури</w:t>
      </w:r>
      <w:r w:rsidR="005903EB" w:rsidRPr="000973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 проте н</w:t>
      </w:r>
      <w:r w:rsidR="00081D7F"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аявна інфраструктура закладів культури Якушинецької громади  не відповідає потребам жителів, адже за багато років вона занепала, умови не придатні для роботи і сьогодні потребує </w:t>
      </w:r>
      <w:r w:rsidR="008816E3" w:rsidRPr="000973CB">
        <w:rPr>
          <w:rFonts w:ascii="Times New Roman" w:hAnsi="Times New Roman" w:cs="Times New Roman"/>
          <w:sz w:val="28"/>
          <w:szCs w:val="28"/>
          <w:lang w:val="uk-UA"/>
        </w:rPr>
        <w:t>комплексної модернізації</w:t>
      </w:r>
      <w:r w:rsidR="00081D7F"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81D7F" w:rsidRPr="000973CB" w:rsidRDefault="00081D7F" w:rsidP="00A7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Болючими питаннями залишаються:</w:t>
      </w:r>
    </w:p>
    <w:p w:rsidR="00081D7F" w:rsidRPr="000973CB" w:rsidRDefault="007F05E3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Стан та опалення приміщень;</w:t>
      </w:r>
    </w:p>
    <w:p w:rsidR="00081D7F" w:rsidRPr="000973CB" w:rsidRDefault="00081D7F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Відсутність внутрішніх вбиралень;</w:t>
      </w:r>
    </w:p>
    <w:p w:rsidR="00081D7F" w:rsidRPr="000973CB" w:rsidRDefault="00081D7F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Застаріла матеріально-технічна база;</w:t>
      </w:r>
    </w:p>
    <w:p w:rsidR="00081D7F" w:rsidRPr="000973CB" w:rsidRDefault="00081D7F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Низька якість культурного послуг;</w:t>
      </w:r>
    </w:p>
    <w:p w:rsidR="00081D7F" w:rsidRPr="000973CB" w:rsidRDefault="00081D7F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Низький рівень задоволення культурних потреб населення; </w:t>
      </w:r>
    </w:p>
    <w:p w:rsidR="00237E8B" w:rsidRPr="000973CB" w:rsidRDefault="00237E8B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Слабка популяризація української звичаєвої культури (в т.ч. місцевої);</w:t>
      </w:r>
    </w:p>
    <w:p w:rsidR="00081D7F" w:rsidRPr="000973CB" w:rsidRDefault="00081D7F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Низька конкурентоспроможність з обласним центром в результаті чого відбувається відтік аудиторій;  </w:t>
      </w:r>
    </w:p>
    <w:p w:rsidR="00081D7F" w:rsidRPr="000973CB" w:rsidRDefault="00081D7F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>Слабка комунікація з аудиторією;</w:t>
      </w:r>
    </w:p>
    <w:p w:rsidR="00506824" w:rsidRPr="000973CB" w:rsidRDefault="00081D7F" w:rsidP="00A72CA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Низький рівень оплати праці, що несе за собою брак кваліфікованих кадрів. </w:t>
      </w:r>
    </w:p>
    <w:p w:rsidR="00081D7F" w:rsidRPr="000973CB" w:rsidRDefault="00081D7F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Необхідність підготовки та прийняття нової </w:t>
      </w:r>
      <w:r w:rsidR="006446D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рограми  викликана завершенням строку реалізації </w:t>
      </w:r>
      <w:r w:rsidR="006446D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культури та духовного 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відродження Якушинецької сільської ради </w:t>
      </w:r>
      <w:r w:rsidR="006446D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рік»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на</w:t>
      </w:r>
      <w:r w:rsidR="006446D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явністю нових завдань та 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викликів. </w:t>
      </w:r>
    </w:p>
    <w:p w:rsidR="00DD2A5F" w:rsidRPr="000973CB" w:rsidRDefault="00081D7F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</w:t>
      </w:r>
      <w:r w:rsidR="00671FC1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0682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галузі культури Якушинецької громади</w:t>
      </w:r>
      <w:r w:rsidR="00671FC1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2022-2024 року</w:t>
      </w:r>
      <w:r w:rsidR="0050682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базується на визначенні культурного потенціалу, формуванні ідентичності громади, об’єднанні ініціативного суспільства, </w:t>
      </w:r>
      <w:r w:rsidR="008360FC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сприятливих умов для подальшого розвитку культури та аматорського мистецтва, задоволення культурних і духовних потреб жителів громади, збереження  традицій i розвиток української культури, </w:t>
      </w:r>
      <w:r w:rsidR="0050682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створенні бренду, пошуку ідей для реалізації культурних ініціатив</w:t>
      </w:r>
      <w:r w:rsidR="005F4C61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креативних </w:t>
      </w:r>
      <w:proofErr w:type="spellStart"/>
      <w:r w:rsidR="005F4C61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50682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відповідає</w:t>
      </w:r>
      <w:r w:rsidR="0010158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4C61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Цілям сталого розвитку України, які адаптовані відповідно до Цілей сталого розвитку ООН, </w:t>
      </w:r>
      <w:r w:rsidR="0010158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Стратегії збалансованого регіонального розвитку Вінницької області на період до 2027 року,</w:t>
      </w:r>
      <w:r w:rsidR="005F4C61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Стратегії розвитку Якушинецької територіальної громади 2030,</w:t>
      </w:r>
      <w:r w:rsidR="0010158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682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 свою чергу сприятиме позитивним змінам та розвитку громади.</w:t>
      </w:r>
    </w:p>
    <w:p w:rsidR="00DD2A5F" w:rsidRPr="000973CB" w:rsidRDefault="00DD2A5F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розроблена відповідно до Конституції України,  Законів України: «Про культуру», «Про бібліотеки і бібліотечну справу», «Про охорону культурної спадщини», «Про місцеве самоврядування в Україні», Бюджетного кодексу України.</w:t>
      </w:r>
    </w:p>
    <w:p w:rsidR="00101584" w:rsidRPr="000973CB" w:rsidRDefault="00101584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01B6" w:rsidRPr="000973CB" w:rsidRDefault="007B01B6" w:rsidP="00A72CA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01B6" w:rsidRPr="000973CB" w:rsidRDefault="007B01B6" w:rsidP="00A72CA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 ВИЗНАЧЕННЯ МЕТИ ПРОГРАМИ</w:t>
      </w:r>
    </w:p>
    <w:p w:rsidR="00C7286B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Основною метою Програми є </w:t>
      </w:r>
      <w:r w:rsidR="0081320C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інформаційно-культурного простору</w:t>
      </w:r>
      <w:r w:rsidR="00DD2A5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кожному населеному пункті</w:t>
      </w:r>
      <w:r w:rsidR="0081320C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7286B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сталої динаміки розвитку закладів культури Якушинецької громади, створення сприятливих умов для подальшого розвитку культури та аматорського мистецтва, </w:t>
      </w:r>
      <w:r w:rsidR="00DD2A5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виявлення, </w:t>
      </w:r>
      <w:r w:rsidR="0081320C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збереження </w:t>
      </w:r>
      <w:r w:rsidR="00DD2A5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популяризація </w:t>
      </w:r>
      <w:r w:rsidR="0081320C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національно-культурної спадщини, задоволення інтелектуальних та духовних потреб жителів громади, </w:t>
      </w:r>
      <w:r w:rsidR="00C7286B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</w:t>
      </w:r>
      <w:r w:rsidR="00DD2A5F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мка інновацій та креативних проектів.</w:t>
      </w:r>
    </w:p>
    <w:p w:rsidR="007B01B6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01B6" w:rsidRPr="000973CB" w:rsidRDefault="007B01B6" w:rsidP="00A72CAA">
      <w:pPr>
        <w:tabs>
          <w:tab w:val="left" w:pos="73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01B6" w:rsidRPr="000973CB" w:rsidRDefault="007B01B6" w:rsidP="00A72CA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4. ОБҐРУНТУВАННЯ ШЛЯХІВ І ЗАСОБІВ РОЗВ’ЯЗАННЯ ПРОБЛЕМИ, </w:t>
      </w:r>
      <w:r w:rsidR="00006A7E"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СТРОКІВ ВИКОНАННЯ, </w:t>
      </w:r>
      <w:r w:rsidR="00A72CAA"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ОБСЯГІВ ТА ДЖЕРЕЛ ФІНАНСУВАННЯ</w:t>
      </w:r>
    </w:p>
    <w:p w:rsidR="007B01B6" w:rsidRPr="000973CB" w:rsidRDefault="007B01B6" w:rsidP="00A72CAA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Droid Sans" w:hAnsi="Times New Roman" w:cs="Times New Roman"/>
          <w:iCs/>
          <w:sz w:val="28"/>
          <w:szCs w:val="28"/>
          <w:shd w:val="clear" w:color="auto" w:fill="FFFFFF"/>
          <w:lang w:val="uk-UA" w:eastAsia="ru-RU" w:bidi="hi-IN"/>
        </w:rPr>
        <w:tab/>
        <w:t xml:space="preserve">Фінансування заходів Програми здійснюватиметься в межах коштів, передбачених бюджетом </w:t>
      </w:r>
      <w:r w:rsidR="00034D80" w:rsidRPr="000973CB">
        <w:rPr>
          <w:rFonts w:ascii="Times New Roman" w:eastAsia="Droid Sans" w:hAnsi="Times New Roman" w:cs="Times New Roman"/>
          <w:iCs/>
          <w:sz w:val="28"/>
          <w:szCs w:val="28"/>
          <w:shd w:val="clear" w:color="auto" w:fill="FFFFFF"/>
          <w:lang w:val="uk-UA" w:eastAsia="ru-RU" w:bidi="hi-IN"/>
        </w:rPr>
        <w:t>Якушинецької сільської</w:t>
      </w:r>
      <w:r w:rsidRPr="000973CB">
        <w:rPr>
          <w:rFonts w:ascii="Times New Roman" w:eastAsia="Droid Sans" w:hAnsi="Times New Roman" w:cs="Times New Roman"/>
          <w:iCs/>
          <w:sz w:val="28"/>
          <w:szCs w:val="28"/>
          <w:shd w:val="clear" w:color="auto" w:fill="FFFFFF"/>
          <w:lang w:val="uk-UA" w:eastAsia="ru-RU" w:bidi="hi-IN"/>
        </w:rPr>
        <w:t xml:space="preserve"> ради на зазначені цілі на відпові</w:t>
      </w:r>
      <w:r w:rsidR="00034D80" w:rsidRPr="000973CB">
        <w:rPr>
          <w:rFonts w:ascii="Times New Roman" w:eastAsia="Droid Sans" w:hAnsi="Times New Roman" w:cs="Times New Roman"/>
          <w:iCs/>
          <w:sz w:val="28"/>
          <w:szCs w:val="28"/>
          <w:shd w:val="clear" w:color="auto" w:fill="FFFFFF"/>
          <w:lang w:val="uk-UA" w:eastAsia="ru-RU" w:bidi="hi-IN"/>
        </w:rPr>
        <w:t>дний період</w:t>
      </w:r>
      <w:r w:rsidRPr="000973CB">
        <w:rPr>
          <w:rFonts w:ascii="Times New Roman" w:eastAsia="Droid Sans" w:hAnsi="Times New Roman" w:cs="Times New Roman"/>
          <w:iCs/>
          <w:sz w:val="28"/>
          <w:szCs w:val="28"/>
          <w:shd w:val="clear" w:color="auto" w:fill="FFFFFF"/>
          <w:lang w:val="uk-UA" w:eastAsia="ru-RU" w:bidi="hi-IN"/>
        </w:rPr>
        <w:t>.</w:t>
      </w:r>
    </w:p>
    <w:p w:rsidR="007B01B6" w:rsidRPr="000973CB" w:rsidRDefault="007B01B6" w:rsidP="00A72CAA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Ресурсне забезпечення Програми наведено у додатку 1 до Програми.</w:t>
      </w:r>
    </w:p>
    <w:p w:rsidR="007B01B6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</w:t>
      </w:r>
      <w:r w:rsidR="00034D80" w:rsidRPr="000973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відбуватиметься у 2022-2024 роках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B01B6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41AD" w:rsidRPr="000973CB" w:rsidRDefault="007B01B6" w:rsidP="00A72CAA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5. </w:t>
      </w:r>
      <w:r w:rsidR="001911C9"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 ЗАВДАНЬ ТА ЗАХОДІВ ПРОГРАМИ, ОЧІКУВАНІ</w:t>
      </w:r>
      <w:r w:rsidR="004C0560"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РЕЗУЛЬТУТИ ВИКОНАННЯ ПРОГРАМИ</w:t>
      </w:r>
    </w:p>
    <w:p w:rsidR="007B01B6" w:rsidRPr="000973CB" w:rsidRDefault="004C0560" w:rsidP="00A72CAA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01B6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Програми </w:t>
      </w:r>
      <w:r w:rsidR="004D6692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ставить завдання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B01B6" w:rsidRPr="000973CB" w:rsidRDefault="00840279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1.Модернізація (створення  якісної) культурної інфраструктури та покращення </w:t>
      </w:r>
      <w:proofErr w:type="spellStart"/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матеріально-</w:t>
      </w:r>
      <w:proofErr w:type="spellEnd"/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технічного забезпечення закладів культури</w:t>
      </w:r>
      <w:r w:rsidR="007B01B6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40279" w:rsidRPr="000973CB" w:rsidRDefault="00840279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 w:rsidR="008245D3" w:rsidRPr="000973CB">
        <w:rPr>
          <w:rFonts w:ascii="Times New Roman" w:hAnsi="Times New Roman" w:cs="Times New Roman"/>
          <w:sz w:val="28"/>
          <w:szCs w:val="28"/>
        </w:rPr>
        <w:t xml:space="preserve"> </w:t>
      </w:r>
      <w:r w:rsidR="008245D3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якості культу</w:t>
      </w:r>
      <w:r w:rsidR="009E7B1E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рних послух. Розвиток творчого потенціалу</w:t>
      </w:r>
      <w:r w:rsidR="008650B7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45D3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840279" w:rsidRPr="000973CB" w:rsidRDefault="00840279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A21774" w:rsidRPr="000973CB">
        <w:rPr>
          <w:rFonts w:ascii="Times New Roman" w:hAnsi="Times New Roman" w:cs="Times New Roman"/>
          <w:sz w:val="28"/>
          <w:szCs w:val="28"/>
        </w:rPr>
        <w:t xml:space="preserve"> </w:t>
      </w:r>
      <w:r w:rsidR="00A2177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та проведення культурно-масових заходів</w:t>
      </w:r>
    </w:p>
    <w:p w:rsidR="007B01B6" w:rsidRPr="000973CB" w:rsidRDefault="00840279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4.Формування іміджу громади </w:t>
      </w:r>
      <w:r w:rsidR="009D0642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призму культури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01B6" w:rsidRPr="000973CB" w:rsidRDefault="004741AD" w:rsidP="00A72C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</w:t>
      </w:r>
      <w:r w:rsidR="007B01B6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заходів, що направлені на вирішення проблем                 у галузі культури: </w:t>
      </w:r>
    </w:p>
    <w:p w:rsidR="006C5880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6C5880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ремонту та модернізація приміщень закладів культури сприятиме створенню комфортного простору</w:t>
      </w:r>
      <w:r w:rsidR="006C5880" w:rsidRPr="0009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80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єднання жителів громади, всебічного розвитку та задоволення їх культурних та духовних потреб ;</w:t>
      </w:r>
    </w:p>
    <w:p w:rsidR="007B01B6" w:rsidRPr="000973CB" w:rsidRDefault="006C5880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B01B6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покращиться матеріально-технічний стан </w:t>
      </w:r>
      <w:r w:rsidR="004D6692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культури Якушинецької сільської ради</w:t>
      </w:r>
    </w:p>
    <w:p w:rsidR="007B01B6" w:rsidRPr="000973CB" w:rsidRDefault="007B01B6" w:rsidP="00A72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D6692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придбання 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музичних інструментів</w:t>
      </w:r>
      <w:r w:rsidR="006C5880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обладнання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дасть можливість  впро</w:t>
      </w:r>
      <w:r w:rsidR="004D6692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ваджувати нові  напрями роботи;</w:t>
      </w:r>
    </w:p>
    <w:p w:rsidR="007B01B6" w:rsidRPr="000973CB" w:rsidRDefault="007B01B6" w:rsidP="00A72CAA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покращиться комп’ютерне оснащення та якість програмного забезпечення </w:t>
      </w:r>
      <w:r w:rsidR="004D6692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культури Якушинецької сільської ради;</w:t>
      </w:r>
    </w:p>
    <w:p w:rsidR="00416CF4" w:rsidRPr="000973CB" w:rsidRDefault="007B01B6" w:rsidP="00A72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розшириться сфера культурних</w:t>
      </w:r>
      <w:r w:rsidR="004D6692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послуг; </w:t>
      </w:r>
    </w:p>
    <w:p w:rsidR="007B01B6" w:rsidRPr="000973CB" w:rsidRDefault="00416CF4" w:rsidP="00A72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розшириться  функціонал закладів культури;  </w:t>
      </w:r>
    </w:p>
    <w:p w:rsidR="00416CF4" w:rsidRPr="000973CB" w:rsidRDefault="007B01B6" w:rsidP="00A72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збільшиться зацікавленість мешканців  національною  </w:t>
      </w:r>
      <w:r w:rsidR="006C5880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українською 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культурою;</w:t>
      </w:r>
      <w:r w:rsidR="00416CF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B01B6" w:rsidRPr="000973CB" w:rsidRDefault="00416CF4" w:rsidP="00A72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кількості учасників художньої самодіяльності;</w:t>
      </w:r>
    </w:p>
    <w:p w:rsidR="007B01B6" w:rsidRPr="000973CB" w:rsidRDefault="007B01B6" w:rsidP="00A72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покращиться якість концертно-видовищних послуг, збільшиться зацікавленість мешканців у культурно-масових заходах, що надасть можливість збільшити кількість відвідувачів;</w:t>
      </w:r>
    </w:p>
    <w:p w:rsidR="007B01B6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створюватимуться умови для якісного розвитку </w:t>
      </w:r>
      <w:r w:rsidRPr="00097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культурного потенціалу </w:t>
      </w: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доступності послуг у сфері культурного відпочинку жителів і гостей громади; </w:t>
      </w:r>
    </w:p>
    <w:p w:rsidR="00416CF4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416CF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креативних </w:t>
      </w:r>
      <w:proofErr w:type="spellStart"/>
      <w:r w:rsidR="00416CF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416CF4"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т.ч. розвиток фестивального руху) ;</w:t>
      </w:r>
    </w:p>
    <w:p w:rsidR="007B01B6" w:rsidRPr="000973CB" w:rsidRDefault="006E0436" w:rsidP="00A72CA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завдань, заходів та очікуваних результатів виконання Програми наведено у додатку 2 до Програми.</w:t>
      </w:r>
    </w:p>
    <w:p w:rsidR="007B01B6" w:rsidRPr="000973CB" w:rsidRDefault="007B01B6" w:rsidP="00A72CA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 КООРДИНАЦІЯ ТА КОНТРОЛЬ ЗА ХОДОМ ВИКОНАННЯ ПРОГРАМИ</w:t>
      </w:r>
    </w:p>
    <w:p w:rsidR="007B01B6" w:rsidRPr="000973CB" w:rsidRDefault="007B01B6" w:rsidP="00A72C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973CB" w:rsidRPr="000973CB" w:rsidRDefault="007B01B6" w:rsidP="000973CB">
      <w:pPr>
        <w:pStyle w:val="a3"/>
        <w:tabs>
          <w:tab w:val="left" w:pos="-76"/>
        </w:tabs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Програми здійснює постійна комісія з</w:t>
      </w:r>
      <w:r w:rsidRPr="000973CB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="000973CB" w:rsidRPr="000973CB">
        <w:rPr>
          <w:rFonts w:ascii="Times New Roman" w:hAnsi="Times New Roman"/>
          <w:sz w:val="28"/>
          <w:szCs w:val="28"/>
          <w:lang w:val="uk-UA" w:eastAsia="ru-RU"/>
        </w:rPr>
        <w:t xml:space="preserve">комісію сільської ради з питань освіти, культури, охорони здоров’я, молоді, фізкультури, спорту, та соціального захисту населення (Бровченко Л.Д.) та комісію з питань фінансів, бюджету, соціально-економічного розвитку та регуляторної політики (Янчук В.І.). </w:t>
      </w:r>
    </w:p>
    <w:p w:rsidR="007B01B6" w:rsidRPr="000973CB" w:rsidRDefault="007B01B6" w:rsidP="00A72C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01B6" w:rsidRPr="000973CB" w:rsidRDefault="007B01B6" w:rsidP="00A72CAA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7B01B6" w:rsidRPr="000973CB" w:rsidRDefault="007B01B6" w:rsidP="002A3036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</w:t>
      </w:r>
      <w:r w:rsidR="00554136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етар</w:t>
      </w:r>
      <w:r w:rsidR="00A62C3F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</w:t>
      </w:r>
      <w:r w:rsidR="002A3036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 w:rsidR="006C5880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Катерина КОСТЮК</w:t>
      </w:r>
    </w:p>
    <w:p w:rsidR="007B01B6" w:rsidRPr="000973CB" w:rsidRDefault="007B01B6" w:rsidP="002A3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136" w:rsidRPr="000973CB" w:rsidRDefault="00554136" w:rsidP="00A72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4136" w:rsidRPr="000973CB" w:rsidRDefault="00554136" w:rsidP="00A72C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37B8F" w:rsidRDefault="00C37B8F" w:rsidP="00AD71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D7155" w:rsidRPr="000973CB" w:rsidRDefault="00AD7155" w:rsidP="00AD71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54136" w:rsidRPr="000973CB" w:rsidRDefault="00554136" w:rsidP="00E905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№1 до Програми</w:t>
      </w:r>
    </w:p>
    <w:p w:rsidR="00554136" w:rsidRPr="000973CB" w:rsidRDefault="00554136" w:rsidP="00E905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4136" w:rsidRPr="000973CB" w:rsidRDefault="00554136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РЕСУРСНЕ ЗАБЕЗПЕЧЕННЯ ПРОГРАМИ</w:t>
      </w:r>
    </w:p>
    <w:p w:rsidR="00554136" w:rsidRPr="000973CB" w:rsidRDefault="00554136" w:rsidP="00E905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тис.грн</w:t>
      </w:r>
      <w:proofErr w:type="spellEnd"/>
      <w:r w:rsidRPr="000973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046"/>
        <w:gridCol w:w="1047"/>
        <w:gridCol w:w="1047"/>
        <w:gridCol w:w="1064"/>
        <w:gridCol w:w="1064"/>
        <w:gridCol w:w="2103"/>
      </w:tblGrid>
      <w:tr w:rsidR="00554136" w:rsidRPr="000973CB" w:rsidTr="00554136">
        <w:tc>
          <w:tcPr>
            <w:tcW w:w="2660" w:type="dxa"/>
            <w:vMerge w:val="restart"/>
            <w:shd w:val="clear" w:color="auto" w:fill="C6D9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5"/>
            <w:shd w:val="clear" w:color="auto" w:fill="C6D9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2103" w:type="dxa"/>
            <w:vMerge w:val="restart"/>
            <w:shd w:val="clear" w:color="auto" w:fill="C6D9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витрат на виконання програми</w:t>
            </w:r>
          </w:p>
        </w:tc>
      </w:tr>
      <w:tr w:rsidR="00554136" w:rsidRPr="000973CB" w:rsidTr="00554136">
        <w:tc>
          <w:tcPr>
            <w:tcW w:w="2660" w:type="dxa"/>
            <w:vMerge/>
            <w:shd w:val="clear" w:color="auto" w:fill="DBE5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140" w:type="dxa"/>
            <w:gridSpan w:val="3"/>
            <w:shd w:val="clear" w:color="auto" w:fill="C6D9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064" w:type="dxa"/>
            <w:shd w:val="clear" w:color="auto" w:fill="C6D9F1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1064" w:type="dxa"/>
            <w:shd w:val="clear" w:color="auto" w:fill="C6D9F1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103" w:type="dxa"/>
            <w:vMerge/>
            <w:shd w:val="clear" w:color="auto" w:fill="DBE5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54136" w:rsidRPr="000973CB" w:rsidTr="00554136">
        <w:tc>
          <w:tcPr>
            <w:tcW w:w="2660" w:type="dxa"/>
            <w:vMerge/>
            <w:shd w:val="clear" w:color="auto" w:fill="DBE5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046" w:type="dxa"/>
            <w:shd w:val="clear" w:color="auto" w:fill="C6D9F1"/>
            <w:vAlign w:val="center"/>
          </w:tcPr>
          <w:p w:rsidR="00554136" w:rsidRPr="000973CB" w:rsidRDefault="000229F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2022</w:t>
            </w:r>
            <w:r w:rsidR="00554136"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047" w:type="dxa"/>
            <w:shd w:val="clear" w:color="auto" w:fill="C6D9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20__ рік</w:t>
            </w:r>
          </w:p>
        </w:tc>
        <w:tc>
          <w:tcPr>
            <w:tcW w:w="1047" w:type="dxa"/>
            <w:shd w:val="clear" w:color="auto" w:fill="C6D9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20__ рік</w:t>
            </w:r>
          </w:p>
        </w:tc>
        <w:tc>
          <w:tcPr>
            <w:tcW w:w="1064" w:type="dxa"/>
            <w:shd w:val="clear" w:color="auto" w:fill="C6D9F1"/>
            <w:vAlign w:val="center"/>
          </w:tcPr>
          <w:p w:rsidR="00554136" w:rsidRPr="000973CB" w:rsidRDefault="000229F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1064" w:type="dxa"/>
            <w:shd w:val="clear" w:color="auto" w:fill="C6D9F1"/>
            <w:vAlign w:val="center"/>
          </w:tcPr>
          <w:p w:rsidR="00554136" w:rsidRPr="000973CB" w:rsidRDefault="00554136" w:rsidP="00022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="000229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 рік</w:t>
            </w:r>
          </w:p>
        </w:tc>
        <w:tc>
          <w:tcPr>
            <w:tcW w:w="2103" w:type="dxa"/>
            <w:vMerge/>
            <w:shd w:val="clear" w:color="auto" w:fill="DBE5F1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54136" w:rsidRPr="000973CB" w:rsidTr="00554136">
        <w:tc>
          <w:tcPr>
            <w:tcW w:w="2660" w:type="dxa"/>
            <w:shd w:val="clear" w:color="auto" w:fill="FFFFFF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03" w:type="dxa"/>
            <w:shd w:val="clear" w:color="auto" w:fill="FFFFFF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C146C8" w:rsidRPr="000973CB" w:rsidTr="00554136">
        <w:tc>
          <w:tcPr>
            <w:tcW w:w="2660" w:type="dxa"/>
          </w:tcPr>
          <w:p w:rsidR="00C146C8" w:rsidRPr="000973CB" w:rsidRDefault="00C146C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ресурсів, всього,</w:t>
            </w:r>
          </w:p>
          <w:p w:rsidR="00C146C8" w:rsidRPr="000973CB" w:rsidRDefault="00C146C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1046" w:type="dxa"/>
            <w:vAlign w:val="center"/>
          </w:tcPr>
          <w:p w:rsidR="00C146C8" w:rsidRPr="000973CB" w:rsidRDefault="00C146C8" w:rsidP="0002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4830,0</w:t>
            </w:r>
          </w:p>
        </w:tc>
        <w:tc>
          <w:tcPr>
            <w:tcW w:w="1047" w:type="dxa"/>
            <w:vAlign w:val="center"/>
          </w:tcPr>
          <w:p w:rsidR="00C146C8" w:rsidRPr="000973CB" w:rsidRDefault="00C146C8" w:rsidP="0002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C146C8" w:rsidRPr="000973CB" w:rsidRDefault="00C146C8" w:rsidP="0002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C146C8" w:rsidRPr="000973CB" w:rsidRDefault="00C146C8" w:rsidP="003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5065,0</w:t>
            </w:r>
          </w:p>
        </w:tc>
        <w:tc>
          <w:tcPr>
            <w:tcW w:w="1064" w:type="dxa"/>
          </w:tcPr>
          <w:p w:rsidR="00C146C8" w:rsidRPr="000973CB" w:rsidRDefault="00C146C8" w:rsidP="003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2095,0</w:t>
            </w:r>
          </w:p>
        </w:tc>
        <w:tc>
          <w:tcPr>
            <w:tcW w:w="2103" w:type="dxa"/>
            <w:vAlign w:val="center"/>
          </w:tcPr>
          <w:p w:rsidR="00C146C8" w:rsidRPr="000973CB" w:rsidRDefault="00C146C8" w:rsidP="003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11990,0</w:t>
            </w:r>
          </w:p>
        </w:tc>
      </w:tr>
      <w:tr w:rsidR="00554136" w:rsidRPr="000973CB" w:rsidTr="00554136">
        <w:tc>
          <w:tcPr>
            <w:tcW w:w="2660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державний бюджет</w:t>
            </w:r>
          </w:p>
        </w:tc>
        <w:tc>
          <w:tcPr>
            <w:tcW w:w="1046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54136" w:rsidRPr="000973CB" w:rsidTr="00554136">
        <w:tc>
          <w:tcPr>
            <w:tcW w:w="2660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1046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229F1" w:rsidRPr="000973CB" w:rsidTr="00554136">
        <w:tc>
          <w:tcPr>
            <w:tcW w:w="2660" w:type="dxa"/>
          </w:tcPr>
          <w:p w:rsidR="000229F1" w:rsidRPr="000973CB" w:rsidRDefault="000229F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місцев</w:t>
            </w: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 бюджет</w:t>
            </w:r>
          </w:p>
        </w:tc>
        <w:tc>
          <w:tcPr>
            <w:tcW w:w="1046" w:type="dxa"/>
            <w:vAlign w:val="center"/>
          </w:tcPr>
          <w:p w:rsidR="000229F1" w:rsidRPr="000973CB" w:rsidRDefault="000229F1" w:rsidP="00C4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4830,0</w:t>
            </w:r>
          </w:p>
        </w:tc>
        <w:tc>
          <w:tcPr>
            <w:tcW w:w="1047" w:type="dxa"/>
            <w:vAlign w:val="center"/>
          </w:tcPr>
          <w:p w:rsidR="000229F1" w:rsidRPr="000973CB" w:rsidRDefault="000229F1" w:rsidP="00C4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0229F1" w:rsidRPr="000973CB" w:rsidRDefault="000229F1" w:rsidP="00C4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0229F1" w:rsidRPr="000973CB" w:rsidRDefault="00C146C8" w:rsidP="00C4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5065,0</w:t>
            </w:r>
          </w:p>
        </w:tc>
        <w:tc>
          <w:tcPr>
            <w:tcW w:w="1064" w:type="dxa"/>
          </w:tcPr>
          <w:p w:rsidR="000229F1" w:rsidRPr="000973CB" w:rsidRDefault="00C146C8" w:rsidP="00C4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2095,0</w:t>
            </w:r>
          </w:p>
        </w:tc>
        <w:tc>
          <w:tcPr>
            <w:tcW w:w="2103" w:type="dxa"/>
            <w:vAlign w:val="center"/>
          </w:tcPr>
          <w:p w:rsidR="000229F1" w:rsidRPr="000973CB" w:rsidRDefault="00C146C8" w:rsidP="00C4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11990,0</w:t>
            </w:r>
          </w:p>
        </w:tc>
      </w:tr>
      <w:tr w:rsidR="00554136" w:rsidRPr="000973CB" w:rsidTr="00554136">
        <w:tc>
          <w:tcPr>
            <w:tcW w:w="2660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73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1046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47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64" w:type="dxa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03" w:type="dxa"/>
            <w:vAlign w:val="center"/>
          </w:tcPr>
          <w:p w:rsidR="00554136" w:rsidRPr="000973CB" w:rsidRDefault="0055413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54136" w:rsidRPr="000973CB" w:rsidRDefault="00554136" w:rsidP="00E90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136" w:rsidRPr="000973CB" w:rsidRDefault="00554136" w:rsidP="00E90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136" w:rsidRPr="000973CB" w:rsidRDefault="00554136" w:rsidP="00E90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4136" w:rsidRPr="000973CB" w:rsidRDefault="00554136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 w:rsidR="00A62C3F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сільської 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                             Катерина КОСТЮК</w:t>
      </w: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3D19" w:rsidRPr="000973CB" w:rsidRDefault="00F43D1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F43D19" w:rsidRPr="000973CB" w:rsidSect="00554136"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F43D19" w:rsidRPr="000973CB" w:rsidRDefault="00F43D19" w:rsidP="00E90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№2 до програми </w:t>
      </w:r>
    </w:p>
    <w:p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ЗАХОДИ</w:t>
      </w:r>
    </w:p>
    <w:p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реалізації Програми розвитку культури та духовн</w:t>
      </w:r>
      <w:r w:rsidR="008F672D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 відродження на 2022-2024</w:t>
      </w: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FC7239" w:rsidRPr="000973CB" w:rsidRDefault="00FC7239" w:rsidP="00E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2981"/>
        <w:gridCol w:w="1276"/>
        <w:gridCol w:w="1985"/>
        <w:gridCol w:w="2126"/>
        <w:gridCol w:w="992"/>
        <w:gridCol w:w="1134"/>
        <w:gridCol w:w="851"/>
        <w:gridCol w:w="925"/>
        <w:gridCol w:w="2410"/>
      </w:tblGrid>
      <w:tr w:rsidR="00E9057B" w:rsidRPr="000973CB" w:rsidTr="00C829FF">
        <w:trPr>
          <w:cantSplit/>
          <w:trHeight w:val="1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7239" w:rsidRPr="00C829FF" w:rsidRDefault="00FC7239" w:rsidP="000219A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39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Обсяг фінансування</w:t>
            </w:r>
            <w:r w:rsidR="00E9057B"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 роках </w:t>
            </w:r>
          </w:p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239" w:rsidRPr="00C829FF" w:rsidRDefault="00FC723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E9057B" w:rsidRPr="000973CB" w:rsidTr="00C829FF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B" w:rsidRPr="00C829FF" w:rsidRDefault="00E077E7" w:rsidP="00E077E7">
            <w:pPr>
              <w:pStyle w:val="a3"/>
              <w:spacing w:after="0" w:line="240" w:lineRule="auto"/>
              <w:ind w:left="0"/>
              <w:jc w:val="left"/>
              <w:rPr>
                <w:rFonts w:ascii="Times New Roman" w:hAnsi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1. Модернізація (с</w:t>
            </w:r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творення якісної</w:t>
            </w:r>
            <w:r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)</w:t>
            </w:r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культурної інфраструктури та покращення </w:t>
            </w:r>
            <w:proofErr w:type="spellStart"/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матеріально-</w:t>
            </w:r>
            <w:proofErr w:type="spellEnd"/>
            <w:r w:rsidR="00E9057B" w:rsidRPr="00C829FF"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технічного забезпечення закладів культури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B" w:rsidRPr="00C829FF" w:rsidRDefault="00480AA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</w:t>
            </w:r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нецька</w:t>
            </w:r>
            <w:proofErr w:type="spellEnd"/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</w:t>
            </w:r>
            <w:r w:rsidRPr="00C82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житлово-комунального господарства, будівництва  та земельних відносин Якушинецької сільської ради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B" w:rsidRPr="00C829FF" w:rsidRDefault="002778E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="00E9057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00579E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 розрізі років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0973CB" w:rsidTr="00C829FF">
        <w:trPr>
          <w:cantSplit/>
          <w:trHeight w:val="12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57B" w:rsidRPr="00C829FF" w:rsidRDefault="00E9057B" w:rsidP="00021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</w:t>
            </w:r>
            <w:r w:rsidR="008A62FD"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E9057B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ремонтів та реконструкцій закладів культури, облаштування внутрішніх вбиралень, систем опалення. </w:t>
            </w:r>
          </w:p>
          <w:p w:rsidR="00480AA7" w:rsidRPr="00C829FF" w:rsidRDefault="00480AA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E9057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2778EB" w:rsidP="002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B8415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414E1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3576A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C414E1" w:rsidP="003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B8415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B8415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7B" w:rsidRPr="00C829FF" w:rsidRDefault="00F8665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сприятливих умов для розвитку культури в громаді</w:t>
            </w:r>
          </w:p>
        </w:tc>
      </w:tr>
      <w:tr w:rsidR="003C2FE1" w:rsidRPr="002C4AA9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3C2F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3C2F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3C2F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з облаштуванням молодіжного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хабу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горищному приміщенні будинку культури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с.Зарванці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3C2F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3C2FE1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2778EB" w:rsidP="0027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  <w:r w:rsidR="00346D0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C2FE1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обласний та державний  бюджети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4F308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4F308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4F308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4F308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E1" w:rsidRPr="00C829FF" w:rsidRDefault="008E69B4" w:rsidP="008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Розширення функціоналу закладів культури, </w:t>
            </w: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перетворювати їх у справжні інформаційно-просвітницькі центри громади</w:t>
            </w:r>
            <w:r w:rsidRPr="00C82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комфортного,безпечного та сучасного, «МІСЦЯ СИЛИ» для єднання, розвитку та підсилення молоді до участі в житті громади.</w:t>
            </w:r>
          </w:p>
        </w:tc>
      </w:tr>
      <w:tr w:rsidR="00946988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3C2F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Поліпшення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матеріально-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технічної бази установ культури </w:t>
            </w:r>
          </w:p>
          <w:p w:rsidR="00946988" w:rsidRPr="00C829FF" w:rsidRDefault="00946988" w:rsidP="004F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громади, придбання </w:t>
            </w:r>
            <w:r w:rsidR="004F3086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одягу сцени,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світлового, звукового, комп'ютерного обладнання,</w:t>
            </w:r>
            <w:r w:rsidR="009F50E1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меблів, музичних інструментів,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фонограм,тощо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94698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9469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C829FF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  <w:r w:rsidR="003576A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3576AF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</w:t>
            </w:r>
            <w:r w:rsidR="006F464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C829FF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6F464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C829FF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6F464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88" w:rsidRPr="00C829FF" w:rsidRDefault="00946988" w:rsidP="00D43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Поліпшення матеріально-технічної бази, необхідної для створення належних умов для творчої праці</w:t>
            </w:r>
          </w:p>
        </w:tc>
      </w:tr>
      <w:tr w:rsidR="009F50E1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сценічних костюмів для</w:t>
            </w:r>
          </w:p>
          <w:p w:rsidR="009F50E1" w:rsidRPr="00C829FF" w:rsidRDefault="009F50E1" w:rsidP="009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аматорських колективів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9F50E1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9F50E1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C829FF" w:rsidP="00C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292</w:t>
            </w:r>
            <w:r w:rsidR="00D27AE4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C829FF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  <w:r w:rsidR="00D27AE4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1" w:rsidRPr="00C829FF" w:rsidRDefault="00774E5E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належних умов для творчої праці учасників художньої самодіяльності та їх участі в культурно-мистецьких заходах громади</w:t>
            </w:r>
          </w:p>
        </w:tc>
      </w:tr>
      <w:tr w:rsidR="00D27AE4" w:rsidRPr="002C4AA9" w:rsidTr="00C829FF">
        <w:trPr>
          <w:trHeight w:val="16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54E5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бібліотечної</w:t>
            </w:r>
          </w:p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справи: поповнення,</w:t>
            </w:r>
          </w:p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збереження фондів,</w:t>
            </w:r>
          </w:p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інформатизація бібліотек,</w:t>
            </w:r>
          </w:p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електронних</w:t>
            </w:r>
          </w:p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ресурсів,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346D0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1A6980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E4" w:rsidRPr="00C829FF" w:rsidRDefault="00D27AE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Оновлення бібліотечних фондів, покращання інформаційного обслуговування населення та збільшення кількості читачів в сільських бібліотеках-філіях</w:t>
            </w:r>
          </w:p>
        </w:tc>
      </w:tr>
      <w:tr w:rsidR="00951994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D54E5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Благоустрій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приклубної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території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8A705E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024857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024857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024857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024857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4A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Утримання у належному санітарному стані земельної ділянки</w:t>
            </w:r>
          </w:p>
        </w:tc>
      </w:tr>
      <w:tr w:rsidR="00951994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D54E5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8A705E" w:rsidP="00F7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Підключення</w:t>
            </w:r>
            <w:r w:rsidR="000B1D9F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культури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мережі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8A705E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8A705E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8A705E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8A705E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8A705E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F7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1994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5769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Підвищення якості культурних послух. Розвиток творчого потенціалу.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Заклади культури та їх структурні підрозділи (філії)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C3739A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51994" w:rsidRPr="002C4AA9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 цільових аудиторій, та виключених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 комунікації з цільовими аудиторіями </w:t>
            </w:r>
          </w:p>
        </w:tc>
      </w:tr>
      <w:tr w:rsidR="00951994" w:rsidRPr="000973CB" w:rsidTr="00C829FF">
        <w:trPr>
          <w:trHeight w:val="11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особливостей та культурних потреб  різних цільових аудиторій та виключених груп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77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Підвищення значущості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закладівкультури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51994" w:rsidRPr="000973CB" w:rsidTr="00C829FF">
        <w:trPr>
          <w:trHeight w:val="7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213C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виключених аудиторій до культурного життя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94" w:rsidRPr="00C829FF" w:rsidRDefault="00951994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1994" w:rsidRPr="00C829FF" w:rsidRDefault="00951994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Єднання жителів громади. З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адоволення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BA2FAB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гуртків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мистецького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  <w:proofErr w:type="gram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спрямувань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D54E5B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D54E5B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D54E5B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D54E5B" w:rsidP="004A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A2FA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алучення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більшої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колективах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художньої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самодіяльност</w:t>
            </w:r>
            <w:proofErr w:type="spellEnd"/>
          </w:p>
        </w:tc>
      </w:tr>
      <w:tr w:rsidR="004A3A88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F365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</w:t>
            </w:r>
            <w:proofErr w:type="gram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Відповідність 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сучамним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тенденціям</w:t>
            </w:r>
          </w:p>
        </w:tc>
      </w:tr>
      <w:tr w:rsidR="004A3A88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Матеріальне стимулювання найбільш активних учасників творчих колективів Комунального закладу «Центру культури та дозвілля Якушинецької сільської ради» та філій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F3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D54E5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EA25DC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D54E5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30C3B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A25DC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EA25DC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EA25DC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 творчому розвитку</w:t>
            </w:r>
          </w:p>
        </w:tc>
      </w:tr>
      <w:tr w:rsidR="004A3A88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8071EC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участі колективів у районних, обласних та міжнародних конкурсах, фестивалях, оглядах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C8245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D54E5B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7C1B8E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C82458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C8245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C82458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творчому розвитку</w:t>
            </w:r>
          </w:p>
        </w:tc>
      </w:tr>
      <w:tr w:rsidR="004A3A88" w:rsidRPr="000973CB" w:rsidTr="00C829FF">
        <w:trPr>
          <w:trHeight w:val="10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441C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виставок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місцевих майстрів,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AB" w:rsidRPr="00C829FF" w:rsidRDefault="00BA2FAB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31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803BF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803BF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803BF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803BF5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2FAB" w:rsidRPr="00C829FF" w:rsidRDefault="00BA2FAB" w:rsidP="008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майстрів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A88" w:rsidRPr="002C4AA9" w:rsidTr="00C829FF">
        <w:trPr>
          <w:trHeight w:val="3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8E" w:rsidRPr="00C829FF" w:rsidRDefault="007C1B8E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2.9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видань історичної, художньої,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публіцистичної, краєзнавчої та культурно-освітньої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спрямованості, що несуть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суспільно-естетичну цінність, які мають значний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вплив на виховання творчої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 і широко охоплюють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громадське, культурне та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літературно-мистецьке життя Якушинецької громади. 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та перевидання  наукових, історичних, мистецьких, образотворчих, інформаційних та ін.. видань про громаду.</w:t>
            </w:r>
          </w:p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Підтримка місцевих письменників та поетів, шляхом видання їх збірок (щорічно 1 збірка) та проведення  їх творчих вечорів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8E" w:rsidRPr="00C829FF" w:rsidRDefault="007C1B8E" w:rsidP="0079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8E" w:rsidRPr="00C829FF" w:rsidRDefault="004A3A8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8E" w:rsidRPr="00C829FF" w:rsidRDefault="004A3A8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8E" w:rsidRPr="00C829FF" w:rsidRDefault="004A3A8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B8E" w:rsidRPr="00C829FF" w:rsidRDefault="004A3A88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C1B8E" w:rsidRPr="00C829FF" w:rsidRDefault="007C1B8E" w:rsidP="0079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поширенню інформації про історичну та культурну спадщину громади, висвітлення життя та діяльності видатних постатей національної історії, діячів культури, місцевих діячів культури, науки тощо;</w:t>
            </w:r>
          </w:p>
        </w:tc>
      </w:tr>
      <w:tr w:rsidR="004A3A88" w:rsidRPr="000973CB" w:rsidTr="00C829FF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Організація та проведення культурно-масових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заклади культури Якушинецької сільської ради та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AB7" w:rsidRPr="00C829FF" w:rsidRDefault="00B20AB7" w:rsidP="000B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0AB7" w:rsidRPr="00C829FF" w:rsidRDefault="004A3A88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формування в жителів громади патріотичних цінностей, поваги до культурного та історичного</w:t>
            </w:r>
          </w:p>
        </w:tc>
      </w:tr>
      <w:tr w:rsidR="004A3A88" w:rsidRPr="000973CB" w:rsidTr="00C829FF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Святого Миколая та Новорічно-різдвяного циклу;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D54E5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D54E5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D54E5B" w:rsidP="004A528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-Дня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Примирення;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Незалежності;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C3537D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C3537D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C3537D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C3537D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4A3A88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Дня Конституції України</w:t>
            </w:r>
          </w:p>
          <w:p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Дня створення об'єднаної територіальної громади</w:t>
            </w:r>
          </w:p>
          <w:p w:rsidR="00B20AB7" w:rsidRPr="00C829FF" w:rsidRDefault="00B20AB7" w:rsidP="00EF5A7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180" w:hanging="142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Дня молоді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D54E5B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D54E5B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D54E5B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D54E5B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Козацтва;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FA07E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FA07E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FA07E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FA07E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Дня захисту дітей;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FA07E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4A528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4A528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4A528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00392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Останнього дзвоника;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4A3A8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4A3A88" w:rsidP="004A3A8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DE9" w:rsidRPr="00C829FF" w:rsidRDefault="004A3A88" w:rsidP="004A3A8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4A3A88" w:rsidP="004A3A88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Інших державних та обрядових свят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CD200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CD200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826B5A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CD200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Відзначення знаменних та пам’ятних дат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A00A0A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A00A0A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A00A0A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9" w:rsidRPr="00C829FF" w:rsidRDefault="00A00A0A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7D3DE9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DE9" w:rsidRPr="00C829FF" w:rsidRDefault="007D3DE9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F5A7E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заходів спрямованих на формування в дітей та молоді патріотичних цінностей, поваги до культурного та історичного минулого України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патріотичних цінностей, поваги до культурного та історичного минулого України</w:t>
            </w:r>
          </w:p>
        </w:tc>
      </w:tr>
      <w:tr w:rsidR="004A3A88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700392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Відзначення професійних свят та презентація окремих сфер  діяльності (Дня працівників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культури,  бібліотек, учителя,  працівника дошкільної освіти, медичного працівника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DD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2C4AA9" w:rsidTr="00C829FF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="00700392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культурно-мистецьких масових заходів (конкурси, концерти, свята, пленери, ювілеї, вечори-зустрічі, акції, наради, конференції,семінари, огляди, майстер - класи, тощо).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Якушинецької сільської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населення, підвищення кваліфікації працівників галузі культури, обмін досвідом</w:t>
            </w:r>
          </w:p>
        </w:tc>
      </w:tr>
      <w:tr w:rsidR="004A3A88" w:rsidRPr="002C4AA9" w:rsidTr="00C829FF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9D064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Формування іміджу громади через призму культури.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9F50E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5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Data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Base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наявних культурних 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Заклади культури Якушинецької сільської ради та їх структурні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A3A88" w:rsidRPr="000973CB" w:rsidTr="00C829FF">
        <w:trPr>
          <w:trHeight w:val="7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22229E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культурного потенціалу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ідентичності громади</w:t>
            </w:r>
          </w:p>
        </w:tc>
      </w:tr>
      <w:tr w:rsidR="004A3A88" w:rsidRPr="000973CB" w:rsidTr="00C829FF">
        <w:trPr>
          <w:trHeight w:val="7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1D43C2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результатів дослідження та подальше просування картування.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Долучення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жителів до участі розвитку культурного життя громади</w:t>
            </w:r>
          </w:p>
        </w:tc>
      </w:tr>
      <w:tr w:rsidR="004A3A88" w:rsidRPr="000973CB" w:rsidTr="00C829FF">
        <w:trPr>
          <w:trHeight w:val="8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</w:t>
            </w:r>
          </w:p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5A51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Об’єднання ініціативного суспільства, пошук ідей для реалізації креативних культурних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22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Долучення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жителів до участі розвитку культурного життя громади </w:t>
            </w:r>
          </w:p>
        </w:tc>
      </w:tr>
      <w:tr w:rsidR="004A3A88" w:rsidRPr="000973CB" w:rsidTr="00C829FF">
        <w:trPr>
          <w:trHeight w:val="8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B958AD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Пошук елементів нематеріальної культурної спадщини населених пунктів Якушинецької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місцевого переліку  елементів нематеріальної культурної спадщини населених пунктів Якушинецької громади</w:t>
            </w:r>
          </w:p>
        </w:tc>
      </w:tr>
      <w:tr w:rsidR="004A3A88" w:rsidRPr="000973CB" w:rsidTr="00C829FF">
        <w:trPr>
          <w:trHeight w:val="8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9A20D8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проведення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pgNum/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сімейного свята « У Святого Миколая»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культури та спорту Якушинецької сільської ради, заклади культури Якушинецької сільської ради та їх структурні підрозділи (філії)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Місцевий бюджет Якушинецької сільської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950890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950890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950890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950890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Задоволення потреб змістовного дозвілля різних вікових 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категорій населення, популяризація української культури</w:t>
            </w:r>
          </w:p>
        </w:tc>
      </w:tr>
      <w:tr w:rsidR="004A3A88" w:rsidRPr="000973CB" w:rsidTr="00C829FF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4.7.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631A1A">
            <w:pPr>
              <w:pStyle w:val="a3"/>
              <w:tabs>
                <w:tab w:val="left" w:pos="38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-Організація</w:t>
            </w:r>
            <w:proofErr w:type="spellEnd"/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проведення фестивалю</w:t>
            </w:r>
            <w:r w:rsidRPr="00C82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української святково-обрядової культури весняного циклу</w:t>
            </w:r>
          </w:p>
          <w:p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поколядини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7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:rsidTr="00C829FF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-Організація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проведення фестивалю української святково-обрядової культури весняного циклу «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Якушинецькі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весноспіви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:rsidTr="00C829FF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Міжнародного фестивалю «Живий вогонь»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:rsidTr="00C829FF">
        <w:trPr>
          <w:trHeight w:val="11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631A1A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Сприяння та створення належних умов для проведення фестивалю «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Kids fishing fest</w:t>
            </w: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B95C3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:rsidTr="00C829FF">
        <w:trPr>
          <w:trHeight w:val="3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фестивалю української звичаєвої культури   «Килимник 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ЕтноGRAFест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5339FB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5339FB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5339FB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4A3A88" w:rsidRPr="000973CB" w:rsidTr="00C829FF">
        <w:trPr>
          <w:trHeight w:val="41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B20AB7" w:rsidRPr="00C829FF" w:rsidRDefault="00E34AF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4.12.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Започаткування етнографічного  гастрофестивалю «Дашковецький MILK-fest»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171C5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171C5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171C5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7" w:rsidRPr="00C829FF" w:rsidRDefault="00171C58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  <w:r w:rsidR="00B20AB7"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B7" w:rsidRPr="00C829FF" w:rsidRDefault="00B20AB7" w:rsidP="008F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Пропаганди здорового харчування, популяризації місцевої сільськогосподарської еко-продукції та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монетизація місцевої гастрономії</w:t>
            </w:r>
          </w:p>
        </w:tc>
      </w:tr>
      <w:tr w:rsidR="00335346" w:rsidRPr="000973CB" w:rsidTr="00C829FF">
        <w:trPr>
          <w:trHeight w:val="234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4.13.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46" w:rsidRPr="00C829FF" w:rsidRDefault="00335346" w:rsidP="007B1B9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Започаткування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гастро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фестивалю «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Festival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риби і танцю» в </w:t>
            </w:r>
            <w:proofErr w:type="spellStart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с.Микулинці</w:t>
            </w:r>
            <w:proofErr w:type="spellEnd"/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FC1F15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FC1F15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FC1F15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FC1F15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Задоволення потреб змістовного дозвілля різних вікових категорій населення</w:t>
            </w:r>
          </w:p>
        </w:tc>
      </w:tr>
      <w:tr w:rsidR="00335346" w:rsidRPr="000973CB" w:rsidTr="00C829F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82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DB1C13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DB1C13" w:rsidP="00E9057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4830,0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DB1C13" w:rsidP="00DB1C1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5065,0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DB1C13" w:rsidP="0084724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2095,0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46" w:rsidRPr="00C829FF" w:rsidRDefault="00335346" w:rsidP="00E9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C7239" w:rsidRPr="000973CB" w:rsidRDefault="00FC7239" w:rsidP="00E9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7239" w:rsidRPr="000973CB" w:rsidRDefault="00FC7239" w:rsidP="00B4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               </w:t>
      </w:r>
      <w:r w:rsidR="00B44563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bookmarkStart w:id="1" w:name="_GoBack"/>
      <w:bookmarkEnd w:id="1"/>
      <w:r w:rsidR="00B44563" w:rsidRPr="000973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Катерина КОСТЮК</w:t>
      </w:r>
    </w:p>
    <w:p w:rsidR="00FC7239" w:rsidRPr="000973CB" w:rsidRDefault="00FC7239" w:rsidP="00E90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C7239" w:rsidRPr="000973CB" w:rsidSect="00F43D19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7B01B6" w:rsidRPr="000973CB" w:rsidRDefault="007B01B6" w:rsidP="008E062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B01B6" w:rsidRPr="000973CB" w:rsidSect="00F43D1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3A" w:rsidRDefault="00B0613A" w:rsidP="005A5185">
      <w:pPr>
        <w:spacing w:after="0" w:line="240" w:lineRule="auto"/>
      </w:pPr>
      <w:r>
        <w:separator/>
      </w:r>
    </w:p>
  </w:endnote>
  <w:endnote w:type="continuationSeparator" w:id="0">
    <w:p w:rsidR="00B0613A" w:rsidRDefault="00B0613A" w:rsidP="005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3A" w:rsidRDefault="00B0613A" w:rsidP="005A5185">
      <w:pPr>
        <w:spacing w:after="0" w:line="240" w:lineRule="auto"/>
      </w:pPr>
      <w:r>
        <w:separator/>
      </w:r>
    </w:p>
  </w:footnote>
  <w:footnote w:type="continuationSeparator" w:id="0">
    <w:p w:rsidR="00B0613A" w:rsidRDefault="00B0613A" w:rsidP="005A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49A"/>
    <w:multiLevelType w:val="hybridMultilevel"/>
    <w:tmpl w:val="2C0C581C"/>
    <w:lvl w:ilvl="0" w:tplc="196E08D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9A71CD"/>
    <w:multiLevelType w:val="hybridMultilevel"/>
    <w:tmpl w:val="2132EE74"/>
    <w:lvl w:ilvl="0" w:tplc="C4F2FD8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D5EFFBC">
      <w:numFmt w:val="bullet"/>
      <w:lvlText w:val=""/>
      <w:lvlJc w:val="left"/>
      <w:pPr>
        <w:ind w:left="3049" w:hanging="12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EE3E9C"/>
    <w:multiLevelType w:val="hybridMultilevel"/>
    <w:tmpl w:val="25F45AF6"/>
    <w:lvl w:ilvl="0" w:tplc="82625CE4">
      <w:start w:val="4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>
    <w:nsid w:val="7A7522BF"/>
    <w:multiLevelType w:val="hybridMultilevel"/>
    <w:tmpl w:val="0AB8B7EA"/>
    <w:lvl w:ilvl="0" w:tplc="0D98D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2A"/>
    <w:rsid w:val="0000579E"/>
    <w:rsid w:val="00006A7E"/>
    <w:rsid w:val="000219AD"/>
    <w:rsid w:val="000229F1"/>
    <w:rsid w:val="00024857"/>
    <w:rsid w:val="00034D80"/>
    <w:rsid w:val="00061131"/>
    <w:rsid w:val="00081D7F"/>
    <w:rsid w:val="000973CB"/>
    <w:rsid w:val="000B1D9F"/>
    <w:rsid w:val="000B4840"/>
    <w:rsid w:val="000B704E"/>
    <w:rsid w:val="000B70BC"/>
    <w:rsid w:val="000D1879"/>
    <w:rsid w:val="000E0A92"/>
    <w:rsid w:val="000F34AD"/>
    <w:rsid w:val="00101584"/>
    <w:rsid w:val="00117595"/>
    <w:rsid w:val="001256DA"/>
    <w:rsid w:val="001511E0"/>
    <w:rsid w:val="00171C58"/>
    <w:rsid w:val="0017478E"/>
    <w:rsid w:val="001911C9"/>
    <w:rsid w:val="00195B1D"/>
    <w:rsid w:val="001A5DC9"/>
    <w:rsid w:val="001A6980"/>
    <w:rsid w:val="001B015B"/>
    <w:rsid w:val="001B707D"/>
    <w:rsid w:val="001C08DE"/>
    <w:rsid w:val="001D4341"/>
    <w:rsid w:val="001D43C2"/>
    <w:rsid w:val="001E6010"/>
    <w:rsid w:val="00213CBD"/>
    <w:rsid w:val="0022124C"/>
    <w:rsid w:val="0022229E"/>
    <w:rsid w:val="00230C3B"/>
    <w:rsid w:val="00237E8B"/>
    <w:rsid w:val="002506B8"/>
    <w:rsid w:val="0025264F"/>
    <w:rsid w:val="002778EB"/>
    <w:rsid w:val="00283663"/>
    <w:rsid w:val="002A2AF6"/>
    <w:rsid w:val="002A3036"/>
    <w:rsid w:val="002C252D"/>
    <w:rsid w:val="002C4AA9"/>
    <w:rsid w:val="002C5BDA"/>
    <w:rsid w:val="002C6D31"/>
    <w:rsid w:val="002D1805"/>
    <w:rsid w:val="002F4BDA"/>
    <w:rsid w:val="0030433F"/>
    <w:rsid w:val="00315214"/>
    <w:rsid w:val="00325D0A"/>
    <w:rsid w:val="00335346"/>
    <w:rsid w:val="00346D0B"/>
    <w:rsid w:val="003566D6"/>
    <w:rsid w:val="003576AF"/>
    <w:rsid w:val="003B457A"/>
    <w:rsid w:val="003C2FE1"/>
    <w:rsid w:val="003E3A54"/>
    <w:rsid w:val="003F46F9"/>
    <w:rsid w:val="00416CF4"/>
    <w:rsid w:val="00441CCB"/>
    <w:rsid w:val="00455C51"/>
    <w:rsid w:val="004657F0"/>
    <w:rsid w:val="00471114"/>
    <w:rsid w:val="004741AD"/>
    <w:rsid w:val="00480AA7"/>
    <w:rsid w:val="00482A9A"/>
    <w:rsid w:val="004A3A88"/>
    <w:rsid w:val="004A528A"/>
    <w:rsid w:val="004C0560"/>
    <w:rsid w:val="004D6692"/>
    <w:rsid w:val="004F1650"/>
    <w:rsid w:val="004F27E5"/>
    <w:rsid w:val="004F3086"/>
    <w:rsid w:val="004F68BB"/>
    <w:rsid w:val="00506824"/>
    <w:rsid w:val="00521843"/>
    <w:rsid w:val="005339FB"/>
    <w:rsid w:val="00553A92"/>
    <w:rsid w:val="00554136"/>
    <w:rsid w:val="005671EB"/>
    <w:rsid w:val="00570183"/>
    <w:rsid w:val="0057028B"/>
    <w:rsid w:val="0057143F"/>
    <w:rsid w:val="00576987"/>
    <w:rsid w:val="005851C4"/>
    <w:rsid w:val="005903EB"/>
    <w:rsid w:val="00593D4C"/>
    <w:rsid w:val="005A5185"/>
    <w:rsid w:val="005A65DD"/>
    <w:rsid w:val="005F4C61"/>
    <w:rsid w:val="005F62EA"/>
    <w:rsid w:val="00617FAC"/>
    <w:rsid w:val="00626675"/>
    <w:rsid w:val="00631A1A"/>
    <w:rsid w:val="006446DF"/>
    <w:rsid w:val="00671FC1"/>
    <w:rsid w:val="0068728D"/>
    <w:rsid w:val="006C5880"/>
    <w:rsid w:val="006D4C16"/>
    <w:rsid w:val="006E0436"/>
    <w:rsid w:val="006F0925"/>
    <w:rsid w:val="006F464F"/>
    <w:rsid w:val="00700392"/>
    <w:rsid w:val="00702BF8"/>
    <w:rsid w:val="00724C70"/>
    <w:rsid w:val="00753D8E"/>
    <w:rsid w:val="00765586"/>
    <w:rsid w:val="00774E5E"/>
    <w:rsid w:val="00790187"/>
    <w:rsid w:val="00794F64"/>
    <w:rsid w:val="007B01B6"/>
    <w:rsid w:val="007B1B97"/>
    <w:rsid w:val="007C1B8E"/>
    <w:rsid w:val="007D3DE9"/>
    <w:rsid w:val="007D49B5"/>
    <w:rsid w:val="007F05E3"/>
    <w:rsid w:val="00803BF5"/>
    <w:rsid w:val="008071EC"/>
    <w:rsid w:val="0081320C"/>
    <w:rsid w:val="008245D3"/>
    <w:rsid w:val="00826B5A"/>
    <w:rsid w:val="0082747F"/>
    <w:rsid w:val="00831011"/>
    <w:rsid w:val="00834CC8"/>
    <w:rsid w:val="008360FC"/>
    <w:rsid w:val="00840279"/>
    <w:rsid w:val="00847240"/>
    <w:rsid w:val="00850225"/>
    <w:rsid w:val="0086260B"/>
    <w:rsid w:val="008650B7"/>
    <w:rsid w:val="00865C32"/>
    <w:rsid w:val="00873A90"/>
    <w:rsid w:val="00876FBE"/>
    <w:rsid w:val="008816E3"/>
    <w:rsid w:val="00890B5F"/>
    <w:rsid w:val="00895E71"/>
    <w:rsid w:val="008A2CD5"/>
    <w:rsid w:val="008A62FD"/>
    <w:rsid w:val="008A705E"/>
    <w:rsid w:val="008B01C5"/>
    <w:rsid w:val="008C0CDA"/>
    <w:rsid w:val="008C2FCC"/>
    <w:rsid w:val="008D49AF"/>
    <w:rsid w:val="008E0625"/>
    <w:rsid w:val="008E69B4"/>
    <w:rsid w:val="008F05D1"/>
    <w:rsid w:val="008F672D"/>
    <w:rsid w:val="00927911"/>
    <w:rsid w:val="00941D96"/>
    <w:rsid w:val="00946988"/>
    <w:rsid w:val="00950890"/>
    <w:rsid w:val="00951994"/>
    <w:rsid w:val="00952552"/>
    <w:rsid w:val="00956018"/>
    <w:rsid w:val="009810CD"/>
    <w:rsid w:val="009A20D8"/>
    <w:rsid w:val="009A39C1"/>
    <w:rsid w:val="009A5005"/>
    <w:rsid w:val="009C277A"/>
    <w:rsid w:val="009D0642"/>
    <w:rsid w:val="009D0AAB"/>
    <w:rsid w:val="009E7B1E"/>
    <w:rsid w:val="009F50E1"/>
    <w:rsid w:val="009F7734"/>
    <w:rsid w:val="00A00A0A"/>
    <w:rsid w:val="00A04908"/>
    <w:rsid w:val="00A1734C"/>
    <w:rsid w:val="00A21774"/>
    <w:rsid w:val="00A24BF4"/>
    <w:rsid w:val="00A42B15"/>
    <w:rsid w:val="00A62C3F"/>
    <w:rsid w:val="00A62E0E"/>
    <w:rsid w:val="00A72CAA"/>
    <w:rsid w:val="00A84C84"/>
    <w:rsid w:val="00A871D2"/>
    <w:rsid w:val="00A95DF6"/>
    <w:rsid w:val="00AA65EA"/>
    <w:rsid w:val="00AD7155"/>
    <w:rsid w:val="00B04A5E"/>
    <w:rsid w:val="00B0613A"/>
    <w:rsid w:val="00B20AB7"/>
    <w:rsid w:val="00B353C5"/>
    <w:rsid w:val="00B44563"/>
    <w:rsid w:val="00B5130F"/>
    <w:rsid w:val="00B564F9"/>
    <w:rsid w:val="00B73ACA"/>
    <w:rsid w:val="00B81070"/>
    <w:rsid w:val="00B84154"/>
    <w:rsid w:val="00B958AD"/>
    <w:rsid w:val="00B95C3B"/>
    <w:rsid w:val="00BA2FAB"/>
    <w:rsid w:val="00BC13E5"/>
    <w:rsid w:val="00BC44B5"/>
    <w:rsid w:val="00BF1A8B"/>
    <w:rsid w:val="00C0627C"/>
    <w:rsid w:val="00C07432"/>
    <w:rsid w:val="00C146C8"/>
    <w:rsid w:val="00C3537D"/>
    <w:rsid w:val="00C3739A"/>
    <w:rsid w:val="00C37B8F"/>
    <w:rsid w:val="00C414E1"/>
    <w:rsid w:val="00C4182A"/>
    <w:rsid w:val="00C45777"/>
    <w:rsid w:val="00C46F9D"/>
    <w:rsid w:val="00C56186"/>
    <w:rsid w:val="00C7286B"/>
    <w:rsid w:val="00C82458"/>
    <w:rsid w:val="00C829FF"/>
    <w:rsid w:val="00C84994"/>
    <w:rsid w:val="00CA0FCD"/>
    <w:rsid w:val="00CD2008"/>
    <w:rsid w:val="00CE24DE"/>
    <w:rsid w:val="00CF1CA8"/>
    <w:rsid w:val="00D0328D"/>
    <w:rsid w:val="00D07EE4"/>
    <w:rsid w:val="00D27840"/>
    <w:rsid w:val="00D27AE4"/>
    <w:rsid w:val="00D43D07"/>
    <w:rsid w:val="00D51A4D"/>
    <w:rsid w:val="00D54E5B"/>
    <w:rsid w:val="00D56B89"/>
    <w:rsid w:val="00D864A3"/>
    <w:rsid w:val="00D93385"/>
    <w:rsid w:val="00D9645B"/>
    <w:rsid w:val="00DB1C13"/>
    <w:rsid w:val="00DC0C22"/>
    <w:rsid w:val="00DD2A5F"/>
    <w:rsid w:val="00DD3C90"/>
    <w:rsid w:val="00DE2424"/>
    <w:rsid w:val="00E077E7"/>
    <w:rsid w:val="00E27D64"/>
    <w:rsid w:val="00E34AF7"/>
    <w:rsid w:val="00E6195A"/>
    <w:rsid w:val="00E6257D"/>
    <w:rsid w:val="00E701FD"/>
    <w:rsid w:val="00E7036B"/>
    <w:rsid w:val="00E77DBC"/>
    <w:rsid w:val="00E9057B"/>
    <w:rsid w:val="00EA25DC"/>
    <w:rsid w:val="00ED62BE"/>
    <w:rsid w:val="00EF5A7E"/>
    <w:rsid w:val="00F200CE"/>
    <w:rsid w:val="00F365BB"/>
    <w:rsid w:val="00F43D19"/>
    <w:rsid w:val="00F634FD"/>
    <w:rsid w:val="00F7266A"/>
    <w:rsid w:val="00F86658"/>
    <w:rsid w:val="00FA07E9"/>
    <w:rsid w:val="00FA3C4F"/>
    <w:rsid w:val="00FC1F15"/>
    <w:rsid w:val="00FC7239"/>
    <w:rsid w:val="00FD7582"/>
    <w:rsid w:val="00FE5C9C"/>
    <w:rsid w:val="00FE7ACE"/>
    <w:rsid w:val="00FF1B6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C22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4D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185"/>
  </w:style>
  <w:style w:type="paragraph" w:styleId="a9">
    <w:name w:val="footer"/>
    <w:basedOn w:val="a"/>
    <w:link w:val="aa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0C22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3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4D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185"/>
  </w:style>
  <w:style w:type="paragraph" w:styleId="a9">
    <w:name w:val="footer"/>
    <w:basedOn w:val="a"/>
    <w:link w:val="aa"/>
    <w:uiPriority w:val="99"/>
    <w:unhideWhenUsed/>
    <w:rsid w:val="005A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0B07-763A-4197-AE4B-C004F3D5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18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237</cp:revision>
  <dcterms:created xsi:type="dcterms:W3CDTF">2021-11-04T14:51:00Z</dcterms:created>
  <dcterms:modified xsi:type="dcterms:W3CDTF">2021-11-16T08:17:00Z</dcterms:modified>
</cp:coreProperties>
</file>