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20"/>
        <w:gridCol w:w="42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загальний ( Форма 2024-1 )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1.  </w:t>
            </w:r>
          </w:p>
        </w:tc>
        <w:tc>
          <w:tcPr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2. Мета діяльності головного розпорядника коштів місцевого бюджету.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Здійснення комплексних заходів, спрямоіваних на забезпечення надійної та безперебійної експлуатації об'єктів житлово-комунального господарства, підвищення рівня благоустрою населених пунктів, забезпечення сприятливого середовища для життєдіяльності людини, задоволення потреб населення в житлово- комунальних послугах відповідно до встановлених нормативів і державних стандартів.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3. Цілі державної політики у відповідній сфері діяльності, формування та/або реалізацію якої забезпечує головний розпорядник коштів місцевого бюджету, і показники їх досягнення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показника результату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Розподіл граничних показників видатків бюджету та надання кредитів з бюджету загального фонду місцевого бюджету на 2022 - 2026 роки за бюджетними програмами: 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Програмної</w:t>
              <w:br/>
              <w:t xml:space="preserve">класифікації</w:t>
              <w:br/>
              <w:t xml:space="preserve">видатків та</w:t>
              <w:br/>
              <w:t xml:space="preserve">кредитування</w:t>
              <w:br/>
              <w:t xml:space="preserve">місцевого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Типової програмної класифікації видатків та кредитування 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Функціональної</w:t>
              <w:br/>
              <w:t xml:space="preserve">класифікації</w:t>
              <w:br/>
              <w:t xml:space="preserve">видатків та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відповідального виконаця, найменування бюджетної програми згідно з Типовою</w:t>
              <w:br/>
              <w:t xml:space="preserve">програмною класифікацією</w:t>
              <w:br/>
              <w:t xml:space="preserve">видатків та кредитування</w:t>
              <w:br/>
              <w:t xml:space="preserve">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Номер цілі державної політики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16 989 458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19 458 892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21 892 400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1210160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4 690 588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5 213 207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6 298 970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1210180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0180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0133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Інша діяльність у сфері державного управління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1216014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6014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0620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Забезпечення збору та вивезення сміття і відходів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1216017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6017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0620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Інша діяльність, пов’язана з експлуатацією об’єктів житлово-комунального господарства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1216020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6020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0620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1 595 076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585 000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1216030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6030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0620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Організація благоустрою населених пунктів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5 051 660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5 469 314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7 310 430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1217130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7130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0421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Здійснення  заходів із землеустрою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1217461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7461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0456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5 230 000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5 500 000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1217693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7693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0490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Інші заходи, пов'язані з економічною діяльністю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40"/>
        <w:gridCol w:w="1260"/>
        <w:gridCol w:w="1380"/>
        <w:gridCol w:w="1300"/>
        <w:gridCol w:w="4660"/>
        <w:gridCol w:w="1200"/>
        <w:gridCol w:w="1200"/>
        <w:gridCol w:w="1200"/>
        <w:gridCol w:w="1200"/>
        <w:gridCol w:w="1200"/>
        <w:gridCol w:w="1360"/>
        <w:gridCol w:w="20"/>
        <w:gridCol w:w="42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16 989 458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19 458 892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21 892 400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Розподіл граничних показників видатків бюджету та надання кредитів з бюджету спеціального фонду місцевого бюджету на 2022 - 2026 роки за бюджетними програмами: 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Програмної</w:t>
              <w:br/>
              <w:t xml:space="preserve">класифікації</w:t>
              <w:br/>
              <w:t xml:space="preserve">видатків та</w:t>
              <w:br/>
              <w:t xml:space="preserve">кредитування</w:t>
              <w:br/>
              <w:t xml:space="preserve">місцевого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Типової програмної класифікації видатків та кредитування 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 Функціональної</w:t>
              <w:br/>
              <w:t xml:space="preserve">класифікації</w:t>
              <w:br/>
              <w:t xml:space="preserve">видатків та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відповідального виконаця, найменування бюджетної програми згідно з Типовою</w:t>
              <w:br/>
              <w:t xml:space="preserve">програмною класифікацією</w:t>
              <w:br/>
              <w:t xml:space="preserve">видатків та кредитування</w:t>
              <w:br/>
              <w:t xml:space="preserve">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Номер цілі державної політики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15 657 781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41 015 699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2 477 000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1210160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0111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62 000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133 000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1216013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6013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0620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Забезпечення діяльності водопровідно-каналізаційного господарства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1 239 515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2 100 000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1217130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7130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Здійснення  заходів із землеустрою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185 500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253 296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1217350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7350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0443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Розроблення схем планування та забудови територій (містобудівної документації)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55 860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1217461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7461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0456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14 311 476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37 616 528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1217691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7691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0490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1 098 805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1 650 000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1218330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8330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0540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Інша діяльність у сфері екології та охорони природних ресурсів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67 500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15 657 781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41 015 699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2 477 000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 ініціали та прізвище)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 ініціали та прізвище)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