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D3" w:rsidRDefault="00B01555">
      <w:pPr>
        <w:pStyle w:val="a8"/>
        <w:spacing w:after="0" w:line="276" w:lineRule="auto"/>
        <w:jc w:val="center"/>
      </w:pPr>
      <w:bookmarkStart w:id="0" w:name="_GoBack"/>
      <w:bookmarkEnd w:id="0"/>
      <w:r>
        <w:rPr>
          <w:b/>
          <w:bCs/>
          <w:color w:val="000000"/>
          <w:szCs w:val="28"/>
        </w:rPr>
        <w:t>Припинення права власності внаслідок знищення майна</w:t>
      </w:r>
      <w:r>
        <w:rPr>
          <w:color w:val="000000"/>
          <w:sz w:val="24"/>
        </w:rPr>
        <w:tab/>
      </w:r>
    </w:p>
    <w:p w:rsidR="001325D3" w:rsidRDefault="001325D3">
      <w:pPr>
        <w:pStyle w:val="a8"/>
        <w:spacing w:after="0" w:line="276" w:lineRule="auto"/>
        <w:jc w:val="both"/>
        <w:rPr>
          <w:color w:val="000000"/>
          <w:sz w:val="24"/>
        </w:rPr>
      </w:pPr>
    </w:p>
    <w:p w:rsidR="001325D3" w:rsidRDefault="00B01555">
      <w:pPr>
        <w:pStyle w:val="a8"/>
        <w:spacing w:after="0" w:line="276" w:lineRule="auto"/>
        <w:jc w:val="both"/>
      </w:pPr>
      <w:r>
        <w:rPr>
          <w:color w:val="000000"/>
          <w:sz w:val="24"/>
        </w:rPr>
        <w:tab/>
      </w:r>
      <w:r>
        <w:rPr>
          <w:rStyle w:val="a7"/>
          <w:i w:val="0"/>
          <w:color w:val="000000"/>
          <w:sz w:val="24"/>
        </w:rPr>
        <w:t>Право власності</w:t>
      </w:r>
      <w:r>
        <w:rPr>
          <w:rStyle w:val="a7"/>
          <w:i w:val="0"/>
          <w:iCs w:val="0"/>
          <w:color w:val="000000"/>
          <w:sz w:val="24"/>
        </w:rPr>
        <w:t xml:space="preserve"> </w:t>
      </w:r>
      <w:r>
        <w:rPr>
          <w:rStyle w:val="a7"/>
          <w:i w:val="0"/>
          <w:color w:val="000000"/>
          <w:sz w:val="24"/>
        </w:rPr>
        <w:t xml:space="preserve">є основним </w:t>
      </w:r>
      <w:r>
        <w:rPr>
          <w:color w:val="000000"/>
          <w:sz w:val="24"/>
        </w:rPr>
        <w:t xml:space="preserve">речовим </w:t>
      </w:r>
      <w:r>
        <w:rPr>
          <w:rStyle w:val="a7"/>
          <w:i w:val="0"/>
          <w:color w:val="000000"/>
          <w:sz w:val="24"/>
        </w:rPr>
        <w:t xml:space="preserve">правом </w:t>
      </w:r>
      <w:r>
        <w:rPr>
          <w:color w:val="000000"/>
          <w:sz w:val="24"/>
        </w:rPr>
        <w:t xml:space="preserve">у сфері господарювання. </w:t>
      </w:r>
      <w:r>
        <w:rPr>
          <w:color w:val="000000"/>
          <w:sz w:val="24"/>
          <w:effect w:val="blinkBackground"/>
        </w:rPr>
        <w:t xml:space="preserve">Конституція України </w:t>
      </w:r>
      <w:r>
        <w:rPr>
          <w:color w:val="000000"/>
          <w:sz w:val="24"/>
        </w:rPr>
        <w:t>встановила основні засади права власності, де визначено, що кожен має право володіти, користуватися і розпор</w:t>
      </w:r>
      <w:r>
        <w:rPr>
          <w:color w:val="000000"/>
          <w:sz w:val="24"/>
        </w:rPr>
        <w:t xml:space="preserve">яджатися своєю власністю, результатами своєї інтелектуальної, творчої діяльності. </w:t>
      </w:r>
    </w:p>
    <w:p w:rsidR="001325D3" w:rsidRDefault="00B01555">
      <w:pPr>
        <w:pStyle w:val="a8"/>
        <w:widowControl/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Підставами припинення права власності є юридичні факти (певні обставини), з якими закон пов'язує ліквідацію права власності взагалі або перехід його до іншої особи.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>Загаль</w:t>
      </w:r>
      <w:r>
        <w:rPr>
          <w:color w:val="000000"/>
          <w:sz w:val="24"/>
        </w:rPr>
        <w:t xml:space="preserve">ні підстави припинення права власності визначає </w:t>
      </w:r>
      <w:r>
        <w:rPr>
          <w:color w:val="000000"/>
          <w:sz w:val="24"/>
          <w:effect w:val="blinkBackground"/>
        </w:rPr>
        <w:t xml:space="preserve">Цивільний кодекс України. </w:t>
      </w:r>
      <w:r>
        <w:rPr>
          <w:color w:val="000000"/>
          <w:sz w:val="24"/>
        </w:rPr>
        <w:t xml:space="preserve">Так, відповідно до ч. 1 ст. 346 </w:t>
      </w:r>
      <w:r>
        <w:rPr>
          <w:color w:val="000000"/>
          <w:sz w:val="24"/>
          <w:effect w:val="blinkBackground"/>
        </w:rPr>
        <w:t xml:space="preserve">ЦК України </w:t>
      </w:r>
      <w:r>
        <w:rPr>
          <w:b/>
          <w:color w:val="000000"/>
          <w:sz w:val="24"/>
        </w:rPr>
        <w:t>право власності припиняється у разі</w:t>
      </w:r>
      <w:r>
        <w:rPr>
          <w:color w:val="000000"/>
          <w:sz w:val="24"/>
        </w:rPr>
        <w:t>: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відчуження власником свого майна;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відмови власника від права власності;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- припинення права </w:t>
      </w:r>
      <w:r>
        <w:rPr>
          <w:color w:val="000000"/>
          <w:sz w:val="24"/>
        </w:rPr>
        <w:t>власності на майно, яке за законом не може належати цій особі;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ab/>
        <w:t>- знищення майна</w:t>
      </w:r>
      <w:r>
        <w:rPr>
          <w:color w:val="000000"/>
          <w:sz w:val="24"/>
        </w:rPr>
        <w:t>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викупу пам'яток історії та культури;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викупу земельної ділянки у зв'язку із суспільною необхідністю;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</w:pPr>
      <w:r>
        <w:rPr>
          <w:color w:val="000000"/>
          <w:sz w:val="24"/>
        </w:rPr>
        <w:tab/>
        <w:t>- викупу нерухомого майна у зв'язку з викупом з метою суспільної не</w:t>
      </w:r>
      <w:r>
        <w:rPr>
          <w:color w:val="000000"/>
          <w:sz w:val="24"/>
        </w:rPr>
        <w:t xml:space="preserve">обхідності </w:t>
      </w:r>
      <w:r>
        <w:rPr>
          <w:color w:val="000000"/>
          <w:sz w:val="24"/>
        </w:rPr>
        <w:tab/>
        <w:t xml:space="preserve">- </w:t>
      </w:r>
      <w:r>
        <w:rPr>
          <w:color w:val="000000"/>
          <w:sz w:val="24"/>
        </w:rPr>
        <w:tab/>
        <w:t>- земельної ділянки, на якій воно розміщене;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звернення стягнення на майно за зобов'язаннями власника;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реквізиції;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- конфіскації;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</w:pPr>
      <w:r>
        <w:rPr>
          <w:color w:val="000000"/>
          <w:sz w:val="24"/>
        </w:rPr>
        <w:tab/>
        <w:t>- припинення юридичної особи чи смерті власника.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>Потрібно зауважити, що наведений перелік не є вичерпни</w:t>
      </w:r>
      <w:r>
        <w:rPr>
          <w:color w:val="000000"/>
          <w:sz w:val="24"/>
        </w:rPr>
        <w:t xml:space="preserve">м. Згідно з ч. 2 ст. 346 </w:t>
      </w:r>
      <w:r>
        <w:rPr>
          <w:color w:val="000000"/>
          <w:sz w:val="24"/>
          <w:effect w:val="blinkBackground"/>
        </w:rPr>
        <w:t>ЦК України п</w:t>
      </w:r>
      <w:r>
        <w:rPr>
          <w:color w:val="000000"/>
          <w:sz w:val="24"/>
        </w:rPr>
        <w:t xml:space="preserve">раво власності може бути припинене також в інших випадках, встановлених законом. </w:t>
      </w:r>
    </w:p>
    <w:p w:rsidR="001325D3" w:rsidRDefault="00B01555">
      <w:pPr>
        <w:pStyle w:val="a8"/>
        <w:spacing w:after="0" w:line="276" w:lineRule="auto"/>
        <w:jc w:val="both"/>
      </w:pPr>
      <w:r>
        <w:rPr>
          <w:color w:val="000000"/>
          <w:sz w:val="24"/>
        </w:rPr>
        <w:tab/>
        <w:t>Залежно від значення волі власника така підстава припинення права власності як «знищення майна» належить до групи «припинення права влас</w:t>
      </w:r>
      <w:r>
        <w:rPr>
          <w:color w:val="000000"/>
          <w:sz w:val="24"/>
        </w:rPr>
        <w:t>ності незалежно від волі власника».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>При цьому, припинення права власності незалежно від волі власника може бути 2 різновидів: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>- припинення права власності з об'єктивних причин (загибель речі, втрата речі власником; сплив строку набувальної давності);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 xml:space="preserve">- </w:t>
      </w:r>
      <w:r>
        <w:rPr>
          <w:color w:val="000000"/>
          <w:sz w:val="24"/>
        </w:rPr>
        <w:t xml:space="preserve">припинення права власності внаслідок волевиявлення інших суб'єктів права (примусовий викуп майна, звернення стягнення на майно за зобов'язаннями власника, реквізиція, конфіскація тощо). При цьому має дотримуватися положення </w:t>
      </w:r>
      <w:r>
        <w:rPr>
          <w:color w:val="000000"/>
          <w:sz w:val="24"/>
          <w:effect w:val="blinkBackground"/>
        </w:rPr>
        <w:t>Конституції України</w:t>
      </w:r>
      <w:r>
        <w:rPr>
          <w:color w:val="000000"/>
          <w:sz w:val="24"/>
        </w:rPr>
        <w:t>: «Ніхто не м</w:t>
      </w:r>
      <w:r>
        <w:rPr>
          <w:color w:val="000000"/>
          <w:sz w:val="24"/>
        </w:rPr>
        <w:t>оже бути позбавлений права власності інакше, як за рішенням суду».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 xml:space="preserve">Статтею 349 </w:t>
      </w:r>
      <w:r>
        <w:rPr>
          <w:color w:val="000000"/>
          <w:sz w:val="24"/>
          <w:effect w:val="blinkBackground"/>
        </w:rPr>
        <w:t xml:space="preserve">ЦК України </w:t>
      </w:r>
      <w:r>
        <w:rPr>
          <w:color w:val="000000"/>
          <w:sz w:val="24"/>
        </w:rPr>
        <w:t xml:space="preserve">визначено, що </w:t>
      </w:r>
      <w:r>
        <w:rPr>
          <w:b/>
          <w:color w:val="000000"/>
          <w:sz w:val="24"/>
        </w:rPr>
        <w:t>право власності на майно припиняється в разі його знищення. При цьому, у разі знищення майна, права на яке підлягають державній реєстрації, право власн</w:t>
      </w:r>
      <w:r>
        <w:rPr>
          <w:b/>
          <w:color w:val="000000"/>
          <w:sz w:val="24"/>
        </w:rPr>
        <w:t>ості на це майно припиняється з моменту внесення за заявою власника змін до державного реєстру.</w:t>
      </w:r>
    </w:p>
    <w:p w:rsidR="001325D3" w:rsidRDefault="00B01555">
      <w:pPr>
        <w:pStyle w:val="a8"/>
        <w:widowControl/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Розглядаючи вказану норму права, можна дійти висновку про те, що у разі руйнації майна, права на яке НЕ підлягають державній реєстрації, законодавець НЕ зобов’</w:t>
      </w:r>
      <w:r>
        <w:rPr>
          <w:color w:val="000000"/>
          <w:sz w:val="24"/>
        </w:rPr>
        <w:t>язує власника здійснювати будь-які дії. При цьому право власності фактично припиняється з моменту безпосереднього знищення речі.</w:t>
      </w:r>
    </w:p>
    <w:p w:rsidR="001325D3" w:rsidRDefault="00B01555">
      <w:pPr>
        <w:pStyle w:val="a8"/>
        <w:widowControl/>
        <w:spacing w:after="0" w:line="276" w:lineRule="auto"/>
        <w:jc w:val="both"/>
        <w:rPr>
          <w:color w:val="000000"/>
        </w:rPr>
      </w:pPr>
      <w:r>
        <w:rPr>
          <w:color w:val="000000"/>
          <w:sz w:val="24"/>
        </w:rPr>
        <w:lastRenderedPageBreak/>
        <w:tab/>
        <w:t>Що стосується майна, права на яке підлягають державній реєстрації, законодавець покладає на власника обов’язок щодо відповідно</w:t>
      </w:r>
      <w:r>
        <w:rPr>
          <w:color w:val="000000"/>
          <w:sz w:val="24"/>
        </w:rPr>
        <w:t>ї реєстрації.</w:t>
      </w:r>
    </w:p>
    <w:p w:rsidR="001325D3" w:rsidRDefault="00B01555">
      <w:pPr>
        <w:pStyle w:val="a8"/>
        <w:widowControl/>
        <w:spacing w:after="0" w:line="276" w:lineRule="auto"/>
        <w:jc w:val="both"/>
      </w:pPr>
      <w:r>
        <w:rPr>
          <w:color w:val="000000"/>
          <w:sz w:val="24"/>
        </w:rPr>
        <w:tab/>
        <w:t xml:space="preserve">Відповідно до п. 75 </w:t>
      </w:r>
      <w:r>
        <w:rPr>
          <w:color w:val="000000"/>
          <w:sz w:val="24"/>
          <w:effect w:val="blinkBackground"/>
        </w:rPr>
        <w:t xml:space="preserve">Порядку державної реєстрації речових прав на нерухоме майно та їх обтяжень </w:t>
      </w:r>
      <w:r>
        <w:rPr>
          <w:color w:val="000000"/>
          <w:sz w:val="24"/>
        </w:rPr>
        <w:t xml:space="preserve">для державної реєстрації припинення права власності на об’єкт нерухомого майна, об’єкт незавершеного будівництва у зв’язку з його знищенням </w:t>
      </w:r>
      <w:r>
        <w:rPr>
          <w:color w:val="000000"/>
          <w:sz w:val="24"/>
        </w:rPr>
        <w:t>подаються: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</w:pPr>
      <w:r>
        <w:rPr>
          <w:color w:val="000000"/>
          <w:sz w:val="24"/>
        </w:rPr>
        <w:tab/>
        <w:t>- документ, відповідно до якого підтверджується факт такого знищення;</w:t>
      </w:r>
    </w:p>
    <w:p w:rsidR="001325D3" w:rsidRDefault="00B01555">
      <w:pPr>
        <w:pStyle w:val="a8"/>
        <w:widowControl/>
        <w:tabs>
          <w:tab w:val="left" w:pos="0"/>
        </w:tabs>
        <w:spacing w:after="0" w:line="276" w:lineRule="auto"/>
        <w:jc w:val="both"/>
      </w:pPr>
      <w:r>
        <w:rPr>
          <w:color w:val="000000"/>
          <w:sz w:val="24"/>
        </w:rPr>
        <w:tab/>
        <w:t>- документ, що посвідчує право власності на об’єкт нерухомого майна (крім випадків, коли право власності на такий об’єкт вже зареєстровано в Державному реєстрі прав або коли</w:t>
      </w:r>
      <w:r>
        <w:rPr>
          <w:color w:val="000000"/>
          <w:sz w:val="24"/>
        </w:rPr>
        <w:t xml:space="preserve"> такі документи було знищено одночасно із знищенням такого об’єкта).</w:t>
      </w:r>
      <w:r>
        <w:rPr>
          <w:color w:val="000000"/>
          <w:sz w:val="24"/>
        </w:rPr>
        <w:tab/>
      </w:r>
    </w:p>
    <w:p w:rsidR="001325D3" w:rsidRDefault="00B01555">
      <w:pPr>
        <w:pStyle w:val="a8"/>
        <w:widowControl/>
        <w:spacing w:after="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При цьому, державна реєстрація прав проводиться за заявою заявника шляхом зверне</w:t>
      </w:r>
      <w:r>
        <w:rPr>
          <w:color w:val="000000"/>
          <w:sz w:val="24"/>
        </w:rPr>
        <w:t>ння до суб’єкта державної реєстрації прав або нотаріуса. Для державної реєстрації прав заявник подає ориг</w:t>
      </w:r>
      <w:r>
        <w:rPr>
          <w:color w:val="000000"/>
          <w:sz w:val="24"/>
        </w:rPr>
        <w:t>інали документів, необхідних для відповідної реєстрації, та документ, що підтверджує сплату адміністративного збору за державну реєстрацію прав.</w:t>
      </w:r>
    </w:p>
    <w:p w:rsidR="001325D3" w:rsidRDefault="001325D3">
      <w:pPr>
        <w:pStyle w:val="a8"/>
        <w:widowControl/>
        <w:spacing w:after="0" w:line="276" w:lineRule="auto"/>
        <w:jc w:val="both"/>
        <w:rPr>
          <w:color w:val="000000"/>
          <w:sz w:val="24"/>
        </w:rPr>
      </w:pPr>
    </w:p>
    <w:p w:rsidR="001325D3" w:rsidRDefault="00B01555">
      <w:pPr>
        <w:pStyle w:val="3"/>
        <w:widowControl/>
        <w:shd w:val="clear" w:color="auto" w:fill="FFFFFF"/>
        <w:spacing w:before="0" w:after="0" w:line="276" w:lineRule="auto"/>
        <w:ind w:left="72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Вінницький місцевий центр </w:t>
      </w:r>
    </w:p>
    <w:p w:rsidR="001325D3" w:rsidRDefault="00B01555">
      <w:pPr>
        <w:pStyle w:val="3"/>
        <w:widowControl/>
        <w:shd w:val="clear" w:color="auto" w:fill="FFFFFF"/>
        <w:spacing w:before="0" w:after="0" w:line="276" w:lineRule="auto"/>
        <w:ind w:left="72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 надання безоплатної вторинної</w:t>
      </w:r>
    </w:p>
    <w:p w:rsidR="001325D3" w:rsidRDefault="00B01555">
      <w:pPr>
        <w:pStyle w:val="3"/>
        <w:widowControl/>
        <w:shd w:val="clear" w:color="auto" w:fill="FFFFFF"/>
        <w:spacing w:before="0" w:after="0" w:line="276" w:lineRule="auto"/>
        <w:ind w:left="72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правової допомоги</w:t>
      </w:r>
    </w:p>
    <w:sectPr w:rsidR="001325D3">
      <w:pgSz w:w="11906" w:h="16838"/>
      <w:pgMar w:top="1134" w:right="1134" w:bottom="1134" w:left="1134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325D3"/>
    <w:rsid w:val="001325D3"/>
    <w:rsid w:val="00B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и списку"/>
    <w:qFormat/>
    <w:rPr>
      <w:rFonts w:ascii="OpenSymbol" w:eastAsia="OpenSymbol" w:hAnsi="OpenSymbol" w:cs="OpenSymbol"/>
    </w:rPr>
  </w:style>
  <w:style w:type="character" w:customStyle="1" w:styleId="a5">
    <w:name w:val="Гіперпосилання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иділення"/>
    <w:rPr>
      <w:i/>
      <w:iCs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eastAsia="Microsoft YaHei"/>
      <w:szCs w:val="28"/>
    </w:rPr>
  </w:style>
  <w:style w:type="paragraph" w:customStyle="1" w:styleId="a8">
    <w:name w:val="Основний текст"/>
    <w:basedOn w:val="a"/>
    <w:pPr>
      <w:spacing w:after="140" w:line="288" w:lineRule="auto"/>
    </w:pPr>
  </w:style>
  <w:style w:type="paragraph" w:styleId="a9">
    <w:name w:val="List"/>
    <w:basedOn w:val="a8"/>
  </w:style>
  <w:style w:type="paragraph" w:customStyle="1" w:styleId="aa">
    <w:name w:val="Розділ"/>
    <w:basedOn w:val="a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ерхній 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ій колонтитул ліворуч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ae">
    <w:name w:val="Назва"/>
    <w:basedOn w:val="a0"/>
    <w:pPr>
      <w:jc w:val="center"/>
    </w:pPr>
    <w:rPr>
      <w:b/>
      <w:bCs/>
      <w:sz w:val="56"/>
      <w:szCs w:val="56"/>
    </w:rPr>
  </w:style>
  <w:style w:type="paragraph" w:customStyle="1" w:styleId="af">
    <w:name w:val="Підзаголовок"/>
    <w:basedOn w:val="a0"/>
    <w:pPr>
      <w:spacing w:before="60"/>
      <w:jc w:val="center"/>
    </w:pPr>
    <w:rPr>
      <w:sz w:val="36"/>
      <w:szCs w:val="36"/>
    </w:rPr>
  </w:style>
  <w:style w:type="paragraph" w:customStyle="1" w:styleId="af0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Стандартний шаблон</dc:title>
  <dc:creator>comp</dc:creator>
  <cp:lastModifiedBy>comp</cp:lastModifiedBy>
  <cp:revision>2</cp:revision>
  <dcterms:created xsi:type="dcterms:W3CDTF">2018-01-23T14:03:00Z</dcterms:created>
  <dcterms:modified xsi:type="dcterms:W3CDTF">2018-01-23T14:03:00Z</dcterms:modified>
  <dc:language>uk-UA</dc:language>
</cp:coreProperties>
</file>